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202" w:rsidRPr="00653202" w:rsidRDefault="00653202" w:rsidP="00653202">
      <w:pPr>
        <w:spacing w:after="0" w:line="240" w:lineRule="auto"/>
        <w:rPr>
          <w:rFonts w:ascii="Times New Roman" w:eastAsia="Times New Roman" w:hAnsi="Times New Roman" w:cs="Times New Roman"/>
          <w:b/>
          <w:bCs/>
          <w:kern w:val="0"/>
          <w:sz w:val="24"/>
          <w:szCs w:val="24"/>
          <w:lang w:val="it-IT"/>
        </w:rPr>
      </w:pP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32"/>
          <w:szCs w:val="24"/>
          <w:lang w:val="it-IT"/>
        </w:rPr>
        <w:t>GRUPAREA EUROPEANĂ DE COOPERARE TERITORIALĂ</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32"/>
          <w:szCs w:val="24"/>
          <w:lang w:val="it-IT"/>
        </w:rPr>
        <w:t>"EAST GATE"</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8"/>
          <w:szCs w:val="24"/>
          <w:lang w:val="it-IT"/>
        </w:rPr>
        <w:t>CONVENȚIA ȘI STATUTUL</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i/>
          <w:kern w:val="0"/>
          <w:sz w:val="24"/>
          <w:szCs w:val="24"/>
          <w:lang w:val="it-IT"/>
        </w:rPr>
        <w:t>Adoptate la Adunarea Generală de Constituire</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i/>
          <w:kern w:val="0"/>
          <w:sz w:val="24"/>
          <w:szCs w:val="24"/>
          <w:lang w:val="it-IT"/>
        </w:rPr>
        <w:t>19 martie 2026, Palatul Parlamentului României, București</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Temeiul juridic:</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0"/>
          <w:szCs w:val="24"/>
          <w:lang w:val="it-IT"/>
        </w:rPr>
        <w:t>Regulamentul (CE) nr. 1082/2006 al Parlamentului European și al Consiliului</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0"/>
          <w:szCs w:val="24"/>
          <w:lang w:val="pt-BR"/>
        </w:rPr>
        <w:t>modificat prin Regulamentul (UE) nr. 1302/2013</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0"/>
          <w:szCs w:val="24"/>
          <w:lang w:val="pt-BR"/>
        </w:rPr>
        <w:t>Ordonanța de Urgență a Guvernului României nr. 127/2007</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0"/>
          <w:szCs w:val="24"/>
          <w:lang w:val="it-IT"/>
        </w:rPr>
        <w:t>aprobată cu modificări prin Legea nr. 52/2008, modificată prin OG nr. 9/2015</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br w:type="page"/>
      </w:r>
    </w:p>
    <w:p w:rsidR="00653202" w:rsidRPr="00653202" w:rsidRDefault="00653202" w:rsidP="00653202">
      <w:pPr>
        <w:spacing w:before="120"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32"/>
          <w:szCs w:val="24"/>
          <w:lang w:val="it-IT"/>
        </w:rPr>
        <w:lastRenderedPageBreak/>
        <w:t>PARTEA ÎNTÂI</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32"/>
          <w:szCs w:val="24"/>
          <w:lang w:val="it-IT"/>
        </w:rPr>
        <w:t>CONVENȚIA</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privind constituirea Grupării Europene de Cooperare Teritorială (GECT)</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"EAST GATE"</w:t>
      </w:r>
    </w:p>
    <w:p w:rsidR="00653202" w:rsidRPr="00653202" w:rsidRDefault="00653202" w:rsidP="00653202">
      <w:pPr>
        <w:spacing w:before="280" w:after="12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PREAMBUL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Părțile semnatare ale prezentei Convenții, denumite în continuare "Membrii Fondatori",</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Având în vedere:</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i/>
          <w:kern w:val="0"/>
          <w:sz w:val="24"/>
          <w:szCs w:val="24"/>
          <w:lang w:val="it-IT"/>
        </w:rPr>
        <w:t>Cadrul juridic al Uniunii Europene: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Regulamentul (CE) nr. 1082/2006 al Parlamentului European și al Consiliului din 5 iulie 2006 privind o grupare europeană de cooperare teritorială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Regulamentul (UE) nr. 1302/2013 al Parlamentului European și al Consiliului din 17 decembrie 2013 de modificare a Regulamentului (CE) nr. 1082/2006;</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i/>
          <w:kern w:val="0"/>
          <w:sz w:val="24"/>
          <w:szCs w:val="24"/>
          <w:lang w:val="it-IT"/>
        </w:rPr>
        <w:t>Cadrul juridic național (State Membre UE):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România — Ordonanța de Urgență a Guvernului nr. 127/2007 privind Gruparea Europeană de Cooperare Teritorială, aprobată cu modificări prin Legea nr. 52/2008, modificată și completată prin Ordonanța Guvernului nr. 9/2015, și legislația națională subsecventă;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Bulgaria — Legislația națională relevantă privind cooperarea teritorială și participarea entităților publice la structuri juridice europene.</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i/>
          <w:kern w:val="0"/>
          <w:sz w:val="24"/>
          <w:szCs w:val="24"/>
          <w:lang w:val="pt-BR"/>
        </w:rPr>
        <w:t>Cadrul juridic național (Țări Terțe):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Republica Moldova — Legea nr. 436-XVI din 28.12.2006 privind administrația publică locală, Hotărârea Guvernului nr. 576 din 19 iulie 2017 cu privire la implementarea programelor de cooperare transfrontalieră, și acordurile bilaterale relevante cu România;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Ucraina — Legea Ucrainei privind cooperarea transfrontalieră nr. 3668-IX din 24 aprilie 2024 și legislația națională subsecventă, Protocolul nr. 3 la Convenția-cadru de la Madrid (Consiliul Europei), ratificat de Ucraina.</w:t>
      </w:r>
    </w:p>
    <w:p w:rsidR="00653202" w:rsidRPr="00653202" w:rsidRDefault="00653202" w:rsidP="00653202">
      <w:pPr>
        <w:spacing w:after="0" w:line="240" w:lineRule="auto"/>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4"/>
          <w:szCs w:val="24"/>
          <w:lang w:val="pt-BR"/>
        </w:rPr>
        <w:t xml:space="preser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i/>
          <w:kern w:val="0"/>
          <w:sz w:val="24"/>
          <w:szCs w:val="24"/>
          <w:lang w:val="it-IT"/>
        </w:rPr>
        <w:t>Voința politică și mandatul pregătitor: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Hotărârea Forumului Internațional "Cooperare Transfrontalieră Europeană" (Ediția a II-a, Chișinău, 18 septembrie 2025), prin care 256 de autorități ale administrațiilor publice locale din România, Republica Moldova și Ucraina au aprobat inițierea demersurilor de constituire a GECT și au mandatat Comitetul de Inițiativă, să elaboreze proiectele documentelor fondatoare — Convenția și Statutul — și să convoace Adunarea Generală de Constituire.</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Recunoscând:</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Viziunea comună a autorităților administrațiilor publice locale din România, Republica Moldova, Ucraina și Bulgaria de a consolida cooperarea transfrontalieră și dezvoltarea regională durabilă;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Necesitatea de a depăși obstacolele birocratice și juridice impuse de frontierele naționale printr-o structură permanentă, cu personalitate juridică proprie, capabilă să acționeze ca o singură voce și să atragă finanțare europeană în mod direct și eficient;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lastRenderedPageBreak/>
        <w:t>Convinși că: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Prezenta GECT, denumită "East Gate", va acționa ca un instrument juridic și strategic pentru a facilita implementarea în comun a programelor, proiectelor și acțiunilor de cooperare teritorială, contribuind la obiectivul de coeziune economică, socială și teritorială al Uniunii Europene și la dezvoltarea durabilă a întregii regiuni,</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Adoptă prezenta Convenție: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I</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Denumirea, Personalitatea Juridică, Sediul și Componența GECT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 — Denumirea și personalitatea juridică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Gruparea Europeană de Cooperare Teritorială "EAST GATE" (în continuare "GECT" sau "GECT EAST GATE") este constituită în temeiul Regulamentului (CE) nr. 1082/2006, modificat prin Regulamentul (UE) nr. 1302/2013, și în conformitate cu prevederile Ordonanței de Urgență a Guvernului României nr. 127/2007, aprobată cu modificări prin Legea nr. 52/2008, modificată prin OG nr. 9/2015.</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Denumirea oficială este "Gruparea Europeană de Cooperare Teritorială EAST GATE". Acronimul oficial este GECT EAST GATE.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GECT EAST GATE dobândește personalitate juridică la data înscrierii în Registrul GECT, efectuată de autoritatea de notificare în conformitate cu prevederile art. 10 din OUG nr. 127/2007. GECT acționează ca o persoană juridică unică, recunoscută în toate statele implicate.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rPr>
      </w:pPr>
      <w:r w:rsidRPr="00653202">
        <w:rPr>
          <w:rFonts w:ascii="Times New Roman" w:eastAsia="Times New Roman" w:hAnsi="Times New Roman" w:cs="Times New Roman"/>
          <w:kern w:val="0"/>
          <w:sz w:val="24"/>
          <w:szCs w:val="24"/>
        </w:rPr>
        <w:t xml:space="preserve">(4) GECT EAST GATE </w:t>
      </w:r>
      <w:proofErr w:type="spellStart"/>
      <w:r w:rsidRPr="00653202">
        <w:rPr>
          <w:rFonts w:ascii="Times New Roman" w:eastAsia="Times New Roman" w:hAnsi="Times New Roman" w:cs="Times New Roman"/>
          <w:kern w:val="0"/>
          <w:sz w:val="24"/>
          <w:szCs w:val="24"/>
        </w:rPr>
        <w:t>este</w:t>
      </w:r>
      <w:proofErr w:type="spellEnd"/>
      <w:r w:rsidRPr="00653202">
        <w:rPr>
          <w:rFonts w:ascii="Times New Roman" w:eastAsia="Times New Roman" w:hAnsi="Times New Roman" w:cs="Times New Roman"/>
          <w:kern w:val="0"/>
          <w:sz w:val="24"/>
          <w:szCs w:val="24"/>
        </w:rPr>
        <w:t xml:space="preserve"> o </w:t>
      </w:r>
      <w:proofErr w:type="spellStart"/>
      <w:r w:rsidRPr="00653202">
        <w:rPr>
          <w:rFonts w:ascii="Times New Roman" w:eastAsia="Times New Roman" w:hAnsi="Times New Roman" w:cs="Times New Roman"/>
          <w:kern w:val="0"/>
          <w:sz w:val="24"/>
          <w:szCs w:val="24"/>
        </w:rPr>
        <w:t>entitate</w:t>
      </w:r>
      <w:proofErr w:type="spellEnd"/>
      <w:r w:rsidRPr="00653202">
        <w:rPr>
          <w:rFonts w:ascii="Times New Roman" w:eastAsia="Times New Roman" w:hAnsi="Times New Roman" w:cs="Times New Roman"/>
          <w:kern w:val="0"/>
          <w:sz w:val="24"/>
          <w:szCs w:val="24"/>
        </w:rPr>
        <w:t xml:space="preserve"> nonprofit care </w:t>
      </w:r>
      <w:proofErr w:type="spellStart"/>
      <w:r w:rsidRPr="00653202">
        <w:rPr>
          <w:rFonts w:ascii="Times New Roman" w:eastAsia="Times New Roman" w:hAnsi="Times New Roman" w:cs="Times New Roman"/>
          <w:kern w:val="0"/>
          <w:sz w:val="24"/>
          <w:szCs w:val="24"/>
        </w:rPr>
        <w:t>acționează</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interes</w:t>
      </w:r>
      <w:proofErr w:type="spellEnd"/>
      <w:r w:rsidRPr="00653202">
        <w:rPr>
          <w:rFonts w:ascii="Times New Roman" w:eastAsia="Times New Roman" w:hAnsi="Times New Roman" w:cs="Times New Roman"/>
          <w:kern w:val="0"/>
          <w:sz w:val="24"/>
          <w:szCs w:val="24"/>
        </w:rPr>
        <w:t xml:space="preserve"> public.</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2 — Sediul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rPr>
        <w:t xml:space="preserve">(1) </w:t>
      </w:r>
      <w:proofErr w:type="spellStart"/>
      <w:r w:rsidRPr="00653202">
        <w:rPr>
          <w:rFonts w:ascii="Times New Roman" w:eastAsia="Times New Roman" w:hAnsi="Times New Roman" w:cs="Times New Roman"/>
          <w:kern w:val="0"/>
          <w:sz w:val="24"/>
          <w:szCs w:val="24"/>
        </w:rPr>
        <w:t>Sediul</w:t>
      </w:r>
      <w:proofErr w:type="spellEnd"/>
      <w:r w:rsidRPr="00653202">
        <w:rPr>
          <w:rFonts w:ascii="Times New Roman" w:eastAsia="Times New Roman" w:hAnsi="Times New Roman" w:cs="Times New Roman"/>
          <w:kern w:val="0"/>
          <w:sz w:val="24"/>
          <w:szCs w:val="24"/>
        </w:rPr>
        <w:t xml:space="preserve"> GECT EAST GATE </w:t>
      </w:r>
      <w:proofErr w:type="spellStart"/>
      <w:r w:rsidRPr="00653202">
        <w:rPr>
          <w:rFonts w:ascii="Times New Roman" w:eastAsia="Times New Roman" w:hAnsi="Times New Roman" w:cs="Times New Roman"/>
          <w:kern w:val="0"/>
          <w:sz w:val="24"/>
          <w:szCs w:val="24"/>
        </w:rPr>
        <w:t>este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stabilit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mun</w:t>
      </w:r>
      <w:proofErr w:type="spellEnd"/>
      <w:r w:rsidRPr="00653202">
        <w:rPr>
          <w:rFonts w:ascii="Times New Roman" w:eastAsia="Times New Roman" w:hAnsi="Times New Roman" w:cs="Times New Roman"/>
          <w:kern w:val="0"/>
          <w:sz w:val="24"/>
          <w:szCs w:val="24"/>
        </w:rPr>
        <w:t xml:space="preserve">. </w:t>
      </w:r>
      <w:r w:rsidRPr="00653202">
        <w:rPr>
          <w:rFonts w:ascii="Times New Roman" w:eastAsia="Times New Roman" w:hAnsi="Times New Roman" w:cs="Times New Roman"/>
          <w:kern w:val="0"/>
          <w:sz w:val="24"/>
          <w:szCs w:val="24"/>
          <w:lang w:val="it-IT"/>
        </w:rPr>
        <w:t>Constanța, jud. Constanța. Sediul social poate fi schimbat prin hotărârea Adunării Generale a GECT, sub rezerva parcurgerii procedurii de modificare a Convenției prevăzute la art. 14.</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GECT poate înființa birouri operaționale și reprezentanțe pe teritoriul oricărui stat în care își desfășoară activitatea membrii săi.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GECT poate înregistra filiale sau sucursale pe teritoriul statelor în care își desfășoară activitatea, în conformitate cu legislația națională a statului respectiv. Secretariatele Naționale prevăzute în Statut pot funcționa în cadrul juridic al acestor filiale.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 — Componența și aria de intervenție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(1)</w:t>
      </w:r>
      <w:r w:rsidRPr="00653202">
        <w:rPr>
          <w:rFonts w:ascii="Times New Roman" w:eastAsia="Times New Roman" w:hAnsi="Times New Roman" w:cs="Times New Roman"/>
          <w:kern w:val="0"/>
          <w:sz w:val="24"/>
          <w:szCs w:val="24"/>
          <w:lang w:val="it-IT"/>
        </w:rPr>
        <w:t xml:space="preserve"> GECT EAST GATE este compusă din membri din patru țări: România, Republica Moldova, Ucraina și Bulgaria.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(2)</w:t>
      </w:r>
      <w:r w:rsidRPr="00653202">
        <w:rPr>
          <w:rFonts w:ascii="Times New Roman" w:eastAsia="Times New Roman" w:hAnsi="Times New Roman" w:cs="Times New Roman"/>
          <w:kern w:val="0"/>
          <w:sz w:val="24"/>
          <w:szCs w:val="24"/>
          <w:lang w:val="it-IT"/>
        </w:rPr>
        <w:t xml:space="preserve"> Sunt eligibili să participe la GECT, în calitate de membri fondatori sau prin aderare ulterioară, următoarele categorii de subiecți:</w:t>
      </w:r>
    </w:p>
    <w:p w:rsidR="00653202" w:rsidRPr="00653202" w:rsidRDefault="00653202" w:rsidP="00653202">
      <w:pPr>
        <w:numPr>
          <w:ilvl w:val="1"/>
          <w:numId w:val="31"/>
        </w:numPr>
        <w:spacing w:after="60" w:line="276" w:lineRule="auto"/>
        <w:contextualSpacing/>
        <w:jc w:val="both"/>
        <w:rPr>
          <w:rFonts w:ascii="Times New Roman" w:eastAsia="Times New Roman" w:hAnsi="Times New Roman" w:cs="Times New Roman"/>
          <w:kern w:val="0"/>
          <w:sz w:val="24"/>
          <w:szCs w:val="24"/>
        </w:rPr>
      </w:pPr>
      <w:r w:rsidRPr="00653202">
        <w:rPr>
          <w:rFonts w:ascii="Times New Roman" w:eastAsia="Times New Roman" w:hAnsi="Times New Roman" w:cs="Times New Roman"/>
          <w:kern w:val="0"/>
          <w:sz w:val="24"/>
          <w:szCs w:val="24"/>
          <w:lang w:val="it-IT"/>
        </w:rPr>
        <w:t xml:space="preserve">Pentru România, în conformitate cu prevederile art. 2 alin. </w:t>
      </w:r>
      <w:r w:rsidRPr="00653202">
        <w:rPr>
          <w:rFonts w:ascii="Times New Roman" w:eastAsia="Times New Roman" w:hAnsi="Times New Roman" w:cs="Times New Roman"/>
          <w:kern w:val="0"/>
          <w:sz w:val="24"/>
          <w:szCs w:val="24"/>
        </w:rPr>
        <w:t>(2) din OUG nr. 127/2007:</w:t>
      </w:r>
    </w:p>
    <w:p w:rsidR="00653202" w:rsidRPr="00653202" w:rsidRDefault="00653202" w:rsidP="00653202">
      <w:pPr>
        <w:numPr>
          <w:ilvl w:val="0"/>
          <w:numId w:val="30"/>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Unități administrativ-teritoriale (comune, orașe, municipii, județe);</w:t>
      </w:r>
    </w:p>
    <w:p w:rsidR="00653202" w:rsidRPr="00653202" w:rsidRDefault="00653202" w:rsidP="00653202">
      <w:pPr>
        <w:numPr>
          <w:ilvl w:val="0"/>
          <w:numId w:val="30"/>
        </w:numPr>
        <w:spacing w:after="60" w:line="276" w:lineRule="auto"/>
        <w:jc w:val="both"/>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Autorități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publice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centrale</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numPr>
          <w:ilvl w:val="0"/>
          <w:numId w:val="30"/>
        </w:numPr>
        <w:spacing w:after="60" w:line="276"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Întreprinderi de stat/municipale și societăți comerciale cu capital integral sau majoritar de stat;</w:t>
      </w:r>
    </w:p>
    <w:p w:rsidR="00653202" w:rsidRPr="00653202" w:rsidRDefault="00653202" w:rsidP="00653202">
      <w:pPr>
        <w:numPr>
          <w:ilvl w:val="0"/>
          <w:numId w:val="30"/>
        </w:numPr>
        <w:spacing w:after="60" w:line="276"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Asociații constituite din subiecții menționați în pct. 2.1.1.</w:t>
      </w:r>
    </w:p>
    <w:p w:rsidR="00653202" w:rsidRPr="00653202" w:rsidRDefault="00653202" w:rsidP="00653202">
      <w:pPr>
        <w:numPr>
          <w:ilvl w:val="1"/>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Pentru Republica Moldova, în conformitate cu legislația privind participarea Republicii Moldova la GECT:</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Autorități ale administrației publice locale (consilii locale, primării, consilii raionale);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Autorități ale administrației publice centrale de specialitate și autorități publice autonome;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Instituții publice aflate la autogestiune;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Întreprinderi de stat/municipale și societăți comerciale cu capital integral sau majoritar de stat;</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Asociații constituite din subiecții menționați în pct. 2.2.1.</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numPr>
          <w:ilvl w:val="1"/>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Ucraina în conformitate cu prevederile Legii Ucrainei privind cooperarea transfrontalieră nr. 3668-IX din 24 aprilie 2024 și legislația națională subsecventă:</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Autorități ale administrației publice locale (consilii locale, primării, consilii raionale);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Autorități ale administrației publice centrale de specialitate și autorități publice autonome;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Instituții publice aflate la autogestiune;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Întreprinderi de stat/municipale și societăți comerciale cu capital integral sau majoritar de stat;</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Asociații constituite din subiecții menționați în pct. 2.3.1.</w:t>
      </w:r>
    </w:p>
    <w:p w:rsidR="00653202" w:rsidRPr="00653202" w:rsidRDefault="00653202" w:rsidP="00653202">
      <w:pPr>
        <w:spacing w:after="0" w:line="240" w:lineRule="auto"/>
        <w:ind w:left="1080"/>
        <w:jc w:val="both"/>
        <w:rPr>
          <w:rFonts w:ascii="Times New Roman" w:eastAsia="Times New Roman" w:hAnsi="Times New Roman" w:cs="Times New Roman"/>
          <w:kern w:val="0"/>
          <w:sz w:val="24"/>
          <w:szCs w:val="24"/>
          <w:lang w:val="it-IT"/>
        </w:rPr>
      </w:pPr>
    </w:p>
    <w:p w:rsidR="00653202" w:rsidRPr="00653202" w:rsidRDefault="00653202" w:rsidP="00653202">
      <w:pPr>
        <w:numPr>
          <w:ilvl w:val="1"/>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Bulgaria în conformitate cu prevederile Hotărârii Consiliului de Miniștri nr. 24 din 10 februarie 2015 (Постановление № 24 на МС от 2015 г.):</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Autorități ale administrației publice locale (consilii locale, primării, consilii raionale);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Autorități ale administrației publice centrale de specialitate și autorități publice autonome;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Instituții publice aflate la autogestiune;</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Întreprinderi de stat/municipale și societăți comerciale cu capital integral sau majoritar de stat;</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Asociații constituite din subiecții menționați în pct. 2.4.1.</w:t>
      </w:r>
    </w:p>
    <w:p w:rsidR="00653202" w:rsidRPr="00653202" w:rsidRDefault="00653202" w:rsidP="00653202">
      <w:pPr>
        <w:numPr>
          <w:ilvl w:val="1"/>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toate cele patru state, în conformitate cu art. 3 alin. (1) din Regulamentul (CE) nr. 1082/2006, pot fi membri ai GECT EAST GATE și următoarele categorii de entități:</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Instituții de învățământ superior de stat (universități) din aria de intervenție a GECT;</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Asociații de dezvoltare intercomunitară, zone metropolitane, grupuri de acțiune locală (GAL), euroregiuni și alte forme asociative constituite din subiecți eligibili conform pct. 2.1–2.4;</w:t>
      </w:r>
    </w:p>
    <w:p w:rsidR="00653202" w:rsidRPr="00653202" w:rsidRDefault="00653202" w:rsidP="00653202">
      <w:pPr>
        <w:numPr>
          <w:ilvl w:val="2"/>
          <w:numId w:val="32"/>
        </w:numPr>
        <w:spacing w:after="60" w:line="276" w:lineRule="auto"/>
        <w:contextualSpacing/>
        <w:jc w:val="both"/>
        <w:rPr>
          <w:rFonts w:ascii="Times New Roman" w:eastAsia="Times New Roman" w:hAnsi="Times New Roman" w:cs="Times New Roman"/>
          <w:kern w:val="0"/>
          <w:sz w:val="24"/>
          <w:szCs w:val="24"/>
          <w:lang w:val="it-IT"/>
        </w:rPr>
      </w:pPr>
      <w:proofErr w:type="spellStart"/>
      <w:r w:rsidRPr="00653202">
        <w:rPr>
          <w:rFonts w:ascii="Times New Roman" w:eastAsia="Times New Roman" w:hAnsi="Times New Roman" w:cs="Times New Roman"/>
          <w:kern w:val="0"/>
          <w:sz w:val="24"/>
          <w:szCs w:val="24"/>
        </w:rPr>
        <w:lastRenderedPageBreak/>
        <w:t>Alte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organisme</w:t>
      </w:r>
      <w:proofErr w:type="spellEnd"/>
      <w:r w:rsidRPr="00653202">
        <w:rPr>
          <w:rFonts w:ascii="Times New Roman" w:eastAsia="Times New Roman" w:hAnsi="Times New Roman" w:cs="Times New Roman"/>
          <w:kern w:val="0"/>
          <w:sz w:val="24"/>
          <w:szCs w:val="24"/>
        </w:rPr>
        <w:t xml:space="preserve"> de </w:t>
      </w:r>
      <w:proofErr w:type="spellStart"/>
      <w:r w:rsidRPr="00653202">
        <w:rPr>
          <w:rFonts w:ascii="Times New Roman" w:eastAsia="Times New Roman" w:hAnsi="Times New Roman" w:cs="Times New Roman"/>
          <w:kern w:val="0"/>
          <w:sz w:val="24"/>
          <w:szCs w:val="24"/>
        </w:rPr>
        <w:t>drept</w:t>
      </w:r>
      <w:proofErr w:type="spellEnd"/>
      <w:r w:rsidRPr="00653202">
        <w:rPr>
          <w:rFonts w:ascii="Times New Roman" w:eastAsia="Times New Roman" w:hAnsi="Times New Roman" w:cs="Times New Roman"/>
          <w:kern w:val="0"/>
          <w:sz w:val="24"/>
          <w:szCs w:val="24"/>
        </w:rPr>
        <w:t xml:space="preserve"> public </w:t>
      </w:r>
      <w:proofErr w:type="spellStart"/>
      <w:r w:rsidRPr="00653202">
        <w:rPr>
          <w:rFonts w:ascii="Times New Roman" w:eastAsia="Times New Roman" w:hAnsi="Times New Roman" w:cs="Times New Roman"/>
          <w:kern w:val="0"/>
          <w:sz w:val="24"/>
          <w:szCs w:val="24"/>
        </w:rPr>
        <w:t>eligibile</w:t>
      </w:r>
      <w:proofErr w:type="spellEnd"/>
      <w:r w:rsidRPr="00653202">
        <w:rPr>
          <w:rFonts w:ascii="Times New Roman" w:eastAsia="Times New Roman" w:hAnsi="Times New Roman" w:cs="Times New Roman"/>
          <w:kern w:val="0"/>
          <w:sz w:val="24"/>
          <w:szCs w:val="24"/>
        </w:rPr>
        <w:t xml:space="preserve"> conform art. 3 </w:t>
      </w:r>
      <w:proofErr w:type="spellStart"/>
      <w:r w:rsidRPr="00653202">
        <w:rPr>
          <w:rFonts w:ascii="Times New Roman" w:eastAsia="Times New Roman" w:hAnsi="Times New Roman" w:cs="Times New Roman"/>
          <w:kern w:val="0"/>
          <w:sz w:val="24"/>
          <w:szCs w:val="24"/>
        </w:rPr>
        <w:t>alin</w:t>
      </w:r>
      <w:proofErr w:type="spellEnd"/>
      <w:r w:rsidRPr="00653202">
        <w:rPr>
          <w:rFonts w:ascii="Times New Roman" w:eastAsia="Times New Roman" w:hAnsi="Times New Roman" w:cs="Times New Roman"/>
          <w:kern w:val="0"/>
          <w:sz w:val="24"/>
          <w:szCs w:val="24"/>
        </w:rPr>
        <w:t xml:space="preserve">. </w:t>
      </w:r>
      <w:r w:rsidRPr="00653202">
        <w:rPr>
          <w:rFonts w:ascii="Times New Roman" w:eastAsia="Times New Roman" w:hAnsi="Times New Roman" w:cs="Times New Roman"/>
          <w:kern w:val="0"/>
          <w:sz w:val="24"/>
          <w:szCs w:val="24"/>
          <w:lang w:val="it-IT"/>
        </w:rPr>
        <w:t>(1) din Regulamentul (CE) nr. 1082/2006 și legislației naționale a statului din care provin.</w:t>
      </w:r>
    </w:p>
    <w:p w:rsidR="00653202" w:rsidRPr="00653202" w:rsidRDefault="00653202" w:rsidP="00653202">
      <w:pPr>
        <w:spacing w:after="0" w:line="240" w:lineRule="auto"/>
        <w:ind w:left="360"/>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2.6. Contribuțiile financiare ale membrilor se diferențiază pe categorii, în funcție de tipul, nivelul administrativ și dimensiunea demografică a entității, conform grilei aprobate prin hotărârea Adunării Generale. Entitățile prevăzute la pct. 2.5 contribuie în cuantum redus, reflectând natura preponderent administrativă și tehnică a participării 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(3)</w:t>
      </w:r>
      <w:r w:rsidRPr="00653202">
        <w:rPr>
          <w:rFonts w:ascii="Times New Roman" w:eastAsia="Times New Roman" w:hAnsi="Times New Roman" w:cs="Times New Roman"/>
          <w:kern w:val="0"/>
          <w:sz w:val="24"/>
          <w:szCs w:val="24"/>
          <w:lang w:val="it-IT"/>
        </w:rPr>
        <w:t xml:space="preserve"> Participarea membrilor din Republica Moldova și Ucraina se realizează în conformitate cu prevederile art. 3a din Regulamentul (CE) nr. 1082/2006 și cu art. 2 alin. (4) din OUG nr. 127/2007.</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(4)</w:t>
      </w:r>
      <w:r w:rsidRPr="00653202">
        <w:rPr>
          <w:rFonts w:ascii="Times New Roman" w:eastAsia="Times New Roman" w:hAnsi="Times New Roman" w:cs="Times New Roman"/>
          <w:kern w:val="0"/>
          <w:sz w:val="24"/>
          <w:szCs w:val="24"/>
          <w:lang w:val="it-IT"/>
        </w:rPr>
        <w:t xml:space="preserve"> Aria de intervenție a GECT cuprinde teritoriul unităților administrativ-teritoriale membre, astfel cum sunt enumerate în Anexa nr. 1.</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(5)</w:t>
      </w:r>
      <w:r w:rsidRPr="00653202">
        <w:rPr>
          <w:rFonts w:ascii="Times New Roman" w:eastAsia="Times New Roman" w:hAnsi="Times New Roman" w:cs="Times New Roman"/>
          <w:kern w:val="0"/>
          <w:sz w:val="24"/>
          <w:szCs w:val="24"/>
          <w:lang w:val="it-IT"/>
        </w:rPr>
        <w:t xml:space="preserve"> Lista Membrilor Fondatori constituie Anexa nr. 1 la prezenta Convenție și face parte integrantă din aceasta.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(6)</w:t>
      </w:r>
      <w:r w:rsidRPr="00653202">
        <w:rPr>
          <w:rFonts w:ascii="Times New Roman" w:eastAsia="Times New Roman" w:hAnsi="Times New Roman" w:cs="Times New Roman"/>
          <w:kern w:val="0"/>
          <w:sz w:val="24"/>
          <w:szCs w:val="24"/>
          <w:lang w:val="it-IT"/>
        </w:rPr>
        <w:t xml:space="preserve"> Procedurile de aderare, retragere și excludere sunt detaliate în Statut.</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b/>
          <w:bCs/>
          <w:kern w:val="0"/>
          <w:lang w:val="it-IT"/>
        </w:rPr>
        <w:t>(7)</w:t>
      </w:r>
      <w:r w:rsidRPr="00653202">
        <w:rPr>
          <w:rFonts w:ascii="Arial" w:eastAsia="Times New Roman" w:hAnsi="Arial" w:cs="Times New Roman"/>
          <w:kern w:val="0"/>
          <w:lang w:val="it-IT"/>
        </w:rPr>
        <w:t xml:space="preserve"> Modalitățile de implicare a membrilor din Republica Moldova și Ucraina, în calitate de entități din țări terțe, sunt următoarele:</w:t>
      </w:r>
    </w:p>
    <w:p w:rsidR="00653202" w:rsidRPr="00653202" w:rsidRDefault="00653202" w:rsidP="00653202">
      <w:pPr>
        <w:numPr>
          <w:ilvl w:val="0"/>
          <w:numId w:val="29"/>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Participarea se realizează în conformitate cu prevederile art. 3a din Regulamentul (CE) nr. 1082/2006, sub rezerva aprobării prealabile a autorității competente din țara respectivă;</w:t>
      </w:r>
    </w:p>
    <w:p w:rsidR="00653202" w:rsidRPr="00653202" w:rsidRDefault="00653202" w:rsidP="00653202">
      <w:pPr>
        <w:numPr>
          <w:ilvl w:val="0"/>
          <w:numId w:val="29"/>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Membrii din țări terțe au aceleași drepturi și obligații ca și ceilalți membri, cu excepția limitărilor prevăzute de legislația națională a țării respective;</w:t>
      </w:r>
    </w:p>
    <w:p w:rsidR="00653202" w:rsidRPr="00653202" w:rsidRDefault="00653202" w:rsidP="00653202">
      <w:pPr>
        <w:numPr>
          <w:ilvl w:val="0"/>
          <w:numId w:val="29"/>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Când GECT își exercită atribuțiile pe teritoriul unei țări terțe, dreptul aplicabil este dreptul național al țării respective, completat cu acordurile bilaterale încheiate între România și țara terță;</w:t>
      </w:r>
    </w:p>
    <w:p w:rsidR="00653202" w:rsidRPr="00653202" w:rsidRDefault="00653202" w:rsidP="00653202">
      <w:pPr>
        <w:numPr>
          <w:ilvl w:val="0"/>
          <w:numId w:val="29"/>
        </w:numPr>
        <w:spacing w:after="60" w:line="276" w:lineRule="auto"/>
        <w:jc w:val="both"/>
        <w:rPr>
          <w:rFonts w:ascii="Times New Roman" w:eastAsia="Times New Roman" w:hAnsi="Times New Roman" w:cs="Times New Roman"/>
          <w:kern w:val="0"/>
          <w:sz w:val="24"/>
          <w:szCs w:val="24"/>
        </w:rPr>
      </w:pPr>
      <w:r w:rsidRPr="00653202">
        <w:rPr>
          <w:rFonts w:ascii="Times New Roman" w:eastAsia="Times New Roman" w:hAnsi="Times New Roman" w:cs="Times New Roman"/>
          <w:kern w:val="0"/>
          <w:sz w:val="24"/>
          <w:szCs w:val="24"/>
          <w:lang w:val="it-IT"/>
        </w:rPr>
        <w:t xml:space="preserve">Statul român, în calitate de stat de sediu, se consultă cu Bulgaria în privința participării membrilor din țări terțe, în conformitate cu art. 4 alin. </w:t>
      </w:r>
      <w:r w:rsidRPr="00653202">
        <w:rPr>
          <w:rFonts w:ascii="Times New Roman" w:eastAsia="Times New Roman" w:hAnsi="Times New Roman" w:cs="Times New Roman"/>
          <w:kern w:val="0"/>
          <w:sz w:val="24"/>
          <w:szCs w:val="24"/>
        </w:rPr>
        <w:t xml:space="preserve">(3a) din </w:t>
      </w:r>
      <w:proofErr w:type="spellStart"/>
      <w:r w:rsidRPr="00653202">
        <w:rPr>
          <w:rFonts w:ascii="Times New Roman" w:eastAsia="Times New Roman" w:hAnsi="Times New Roman" w:cs="Times New Roman"/>
          <w:kern w:val="0"/>
          <w:sz w:val="24"/>
          <w:szCs w:val="24"/>
        </w:rPr>
        <w:t>Regulamentul</w:t>
      </w:r>
      <w:proofErr w:type="spellEnd"/>
      <w:r w:rsidRPr="00653202">
        <w:rPr>
          <w:rFonts w:ascii="Times New Roman" w:eastAsia="Times New Roman" w:hAnsi="Times New Roman" w:cs="Times New Roman"/>
          <w:kern w:val="0"/>
          <w:sz w:val="24"/>
          <w:szCs w:val="24"/>
        </w:rPr>
        <w:t xml:space="preserve"> (CE) nr. 1082/2006.</w:t>
      </w:r>
    </w:p>
    <w:p w:rsidR="00653202" w:rsidRPr="00653202" w:rsidRDefault="00653202" w:rsidP="00653202">
      <w:pPr>
        <w:numPr>
          <w:ilvl w:val="0"/>
          <w:numId w:val="29"/>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Membrii din țări terțe beneficiază de un nivel al contribuției financiare anuale diferențiat față de membrii din state membre ale Uniunii Europene, proporțional cu diferențele obiective de capacitate financiară. Această diferențiere încetează de la data aderării statului respectiv la Uniunea Europeană.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(8)</w:t>
      </w:r>
      <w:r w:rsidRPr="00653202">
        <w:rPr>
          <w:rFonts w:ascii="Times New Roman" w:eastAsia="Times New Roman" w:hAnsi="Times New Roman" w:cs="Times New Roman"/>
          <w:kern w:val="0"/>
          <w:sz w:val="24"/>
          <w:szCs w:val="24"/>
          <w:lang w:val="it-IT"/>
        </w:rPr>
        <w:t xml:space="preserve"> Participarea membrilor din Bulgaria se realizează în conformitate cu procedura prevăzută la art. 4 alin. (3) din Regulamentul (CE) nr. 1082/2006 și cu legislația națională bulgară.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II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Obiectivul, Misiunile și Durata GECT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4 — Obiectivul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Obiectivul principal al GECT EAST GATE este facilitarea și promovarea cooperării transfrontaliere, transnaționale și interregionale între membrii săi, în vederea consolidării coeziunii economice, sociale și teritoriale, în conformitate cu prevederile art. 1 alin. (2) din Regulamentul (CE) nr. 1082/2006.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(2) În contextul strategic al regiunii, GECT urmărește să acționeze ca o "Poartă de Est" ("East Gate") pentru a sprijini: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Dezvoltarea accelerată, inteligentă și durabilă a regiunii transfrontaliere;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Consolidarea conectivității durabile (transport, energie, digital) între statele membre UE și țările partenere;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Sprijinirea proceselor de reformă și de aliniere la acquis-ul comunitar ale Republicii Moldova și Ucrainei, prin transfer de bune practici și implementarea de proiecte strategice comune;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Crearea unei platforme instituționale permanente pentru planificare strategică pe termen lung și atragerea eficientă de fonduri europene.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5 — Domeniile de activitate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GECT EAST GATE acționează în toate domeniile de competență ale membrilor săi, în măsura în care acestea contribuie la facilitarea și promovarea cooperării teritoriale și la consolidarea coeziunii economice, sociale și teritoriale a regiunii.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Domeniile de activitate ale GECT includ, fără a se limita la:</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Transporturi, drumuri și conectivitate;</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Servicii comunale, edilitare și gospodărie locală;</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Educație, cercetare, inovare și formare profesională;</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Sănătate și servicii sociale;</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Cultură, patrimoniu cultural și industrii creative;</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Turism și promovare regională;</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Protecția mediului, patrimoniul natural;</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Energie și eficiență energetică;</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Administrație publică și bună guvernanță;</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Tehnologia informației, digitalizare și e-guvernare;</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Managementul situațiilor de urgență;</w:t>
      </w:r>
    </w:p>
    <w:p w:rsidR="00653202" w:rsidRPr="00653202" w:rsidRDefault="00653202" w:rsidP="00653202">
      <w:pPr>
        <w:numPr>
          <w:ilvl w:val="0"/>
          <w:numId w:val="1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Orice alt domeniu de interes comun care intră în competențele membrilor GECT conform legislației naționale aplicabile.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Enumerarea de la alin. (2) are caracter exemplificativ. Consiliul de Administrare poate identifica noi domenii de activitate, în limitele competențelor membrilor și ale obiectivului GECT.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6 — Componenta de investiții și infrastructură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În fiecare dintre domeniile prevăzute la art. 5, GECT poate iniția, dezvolta, finanța și implementa proiecte de investiții în infrastructură fizică, în dotările, echipamentele și amenajările necesare realizării obiectivelor sale.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GECT poate realiza investițiile prevăzute la alin. (1) în mod direct, prin contractare cu terți sau în parteneriat cu membrii săi și cu alte entități, în conformitate cu legislația aplicabilă.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Investițiile în infrastructură se realizează pe teritoriul membrilor GECT, în baza unor proiecte aprobate de Consiliul de Administrare sau, pentru proiectele care depășesc pragul stabilit de acesta, de Adunarea Generală.</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7 — Atragerea și gestionarea fondurilor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(1) GECT EAST GATE are capacitatea de a atrage, gestiona și implementa fonduri din orice sursă legală de finanțare, inclusiv:</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Programele de cooperare teritorială ale Uniunii Europene (Interreg, ENI/NDICI, IPA și succesoarele acestora);</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Fondurile structurale și de investiții europene (FEDR, FSE+, Fondul de Coeziune, FEADR, FEPAM);</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Programele europene tematice (Orizont Europa, LIFE, Erasmus+, Europa Creativă, Europa Digitală, Mecanismul pentru Interconectarea Europei și succesoarele acestora);</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Instrumentele financiare ale Băncii Europene de Investiții, Băncii de Dezvoltare a Consiliului Europei, Băncii Europene pentru Reconstrucție și Dezvoltare și ale altor instituții financiare internaționale;</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Fondurile guvernamentale naționale și regionale din țările membre;</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Contribuțiile financiare ale membrilor;</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Granturi, subvenții și donații din partea organizațiilor internaționale, fundațiilor și altor entități;</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Venituri din activități proprii și prestări de servicii;</w:t>
      </w:r>
    </w:p>
    <w:p w:rsidR="00653202" w:rsidRPr="00653202" w:rsidRDefault="00653202" w:rsidP="00653202">
      <w:pPr>
        <w:numPr>
          <w:ilvl w:val="0"/>
          <w:numId w:val="14"/>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Orice altă sursă de finanțare permisă de legislația aplicabilă.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GECT poate acționa în calitate de beneficiar unic, lider de parteneriat, partener sau organism intermediar în cadrul programelor și instrumentelor enumerate la alin. (1).</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GECT poate înființa sau participa la constituirea de fonduri de investiții, instrumente financiare sau parteneriate public-privat, în conformitate cu legislația aplicabilă, în vederea realizării obiectivelor sale.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8 — Durata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GECT EAST GATE se constituie pe durată nedeterminată.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Procedurile de dizolvare și lichidare sunt detaliate în Statutul GECT, în conformitate cu prevederile art. 12 și 14 din Regulamentul (CE) nr. 1082/2006.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CAPITOLUL III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Dreptul aplicabil, limba, responsabilitatea și organele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9 — Dreptul aplicabil și competența jurisdicțională</w:t>
      </w:r>
    </w:p>
    <w:p w:rsidR="00653202" w:rsidRPr="00653202" w:rsidRDefault="00653202" w:rsidP="00653202">
      <w:pPr>
        <w:spacing w:after="120" w:line="276" w:lineRule="auto"/>
        <w:jc w:val="both"/>
        <w:rPr>
          <w:rFonts w:ascii="Arial" w:eastAsia="Times New Roman" w:hAnsi="Arial" w:cs="Times New Roman"/>
          <w:kern w:val="0"/>
          <w:lang w:val="pt-BR"/>
        </w:rPr>
      </w:pPr>
      <w:r w:rsidRPr="00653202">
        <w:rPr>
          <w:rFonts w:ascii="Arial" w:eastAsia="Times New Roman" w:hAnsi="Arial" w:cs="Times New Roman"/>
          <w:kern w:val="0"/>
          <w:lang w:val="pt-BR"/>
        </w:rPr>
        <w:t>(1) În conformitate cu prevederile art. 2 din Regulamentul (CE) nr. 1082/2006, GECT EAST GATE este reglementată de următoarea ierarhie de norme:</w:t>
      </w:r>
    </w:p>
    <w:p w:rsidR="00653202" w:rsidRPr="00653202" w:rsidRDefault="00653202" w:rsidP="00653202">
      <w:pPr>
        <w:numPr>
          <w:ilvl w:val="0"/>
          <w:numId w:val="28"/>
        </w:numPr>
        <w:spacing w:after="60" w:line="276" w:lineRule="auto"/>
        <w:jc w:val="both"/>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Regulamentul</w:t>
      </w:r>
      <w:proofErr w:type="spellEnd"/>
      <w:r w:rsidRPr="00653202">
        <w:rPr>
          <w:rFonts w:ascii="Times New Roman" w:eastAsia="Times New Roman" w:hAnsi="Times New Roman" w:cs="Times New Roman"/>
          <w:kern w:val="0"/>
          <w:sz w:val="24"/>
          <w:szCs w:val="24"/>
        </w:rPr>
        <w:t xml:space="preserve"> (CE) nr. 1082/2006, </w:t>
      </w:r>
      <w:proofErr w:type="spellStart"/>
      <w:r w:rsidRPr="00653202">
        <w:rPr>
          <w:rFonts w:ascii="Times New Roman" w:eastAsia="Times New Roman" w:hAnsi="Times New Roman" w:cs="Times New Roman"/>
          <w:kern w:val="0"/>
          <w:sz w:val="24"/>
          <w:szCs w:val="24"/>
        </w:rPr>
        <w:t>astfel</w:t>
      </w:r>
      <w:proofErr w:type="spellEnd"/>
      <w:r w:rsidRPr="00653202">
        <w:rPr>
          <w:rFonts w:ascii="Times New Roman" w:eastAsia="Times New Roman" w:hAnsi="Times New Roman" w:cs="Times New Roman"/>
          <w:kern w:val="0"/>
          <w:sz w:val="24"/>
          <w:szCs w:val="24"/>
        </w:rPr>
        <w:t xml:space="preserve"> cum a </w:t>
      </w:r>
      <w:proofErr w:type="spellStart"/>
      <w:r w:rsidRPr="00653202">
        <w:rPr>
          <w:rFonts w:ascii="Times New Roman" w:eastAsia="Times New Roman" w:hAnsi="Times New Roman" w:cs="Times New Roman"/>
          <w:kern w:val="0"/>
          <w:sz w:val="24"/>
          <w:szCs w:val="24"/>
        </w:rPr>
        <w:t>fost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modificat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prin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Regulamentul</w:t>
      </w:r>
      <w:proofErr w:type="spellEnd"/>
      <w:r w:rsidRPr="00653202">
        <w:rPr>
          <w:rFonts w:ascii="Times New Roman" w:eastAsia="Times New Roman" w:hAnsi="Times New Roman" w:cs="Times New Roman"/>
          <w:kern w:val="0"/>
          <w:sz w:val="24"/>
          <w:szCs w:val="24"/>
        </w:rPr>
        <w:t xml:space="preserve"> (UE) nr. 1302/2013, ca </w:t>
      </w:r>
      <w:proofErr w:type="spellStart"/>
      <w:r w:rsidRPr="00653202">
        <w:rPr>
          <w:rFonts w:ascii="Times New Roman" w:eastAsia="Times New Roman" w:hAnsi="Times New Roman" w:cs="Times New Roman"/>
          <w:kern w:val="0"/>
          <w:sz w:val="24"/>
          <w:szCs w:val="24"/>
        </w:rPr>
        <w:t>drept</w:t>
      </w:r>
      <w:proofErr w:type="spellEnd"/>
      <w:r w:rsidRPr="00653202">
        <w:rPr>
          <w:rFonts w:ascii="Times New Roman" w:eastAsia="Times New Roman" w:hAnsi="Times New Roman" w:cs="Times New Roman"/>
          <w:kern w:val="0"/>
          <w:sz w:val="24"/>
          <w:szCs w:val="24"/>
        </w:rPr>
        <w:t xml:space="preserve"> al </w:t>
      </w:r>
      <w:proofErr w:type="spellStart"/>
      <w:r w:rsidRPr="00653202">
        <w:rPr>
          <w:rFonts w:ascii="Times New Roman" w:eastAsia="Times New Roman" w:hAnsi="Times New Roman" w:cs="Times New Roman"/>
          <w:kern w:val="0"/>
          <w:sz w:val="24"/>
          <w:szCs w:val="24"/>
        </w:rPr>
        <w:t>Uniunii</w:t>
      </w:r>
      <w:proofErr w:type="spellEnd"/>
      <w:r w:rsidRPr="00653202">
        <w:rPr>
          <w:rFonts w:ascii="Times New Roman" w:eastAsia="Times New Roman" w:hAnsi="Times New Roman" w:cs="Times New Roman"/>
          <w:kern w:val="0"/>
          <w:sz w:val="24"/>
          <w:szCs w:val="24"/>
        </w:rPr>
        <w:t xml:space="preserve"> direct </w:t>
      </w:r>
      <w:proofErr w:type="spellStart"/>
      <w:r w:rsidRPr="00653202">
        <w:rPr>
          <w:rFonts w:ascii="Times New Roman" w:eastAsia="Times New Roman" w:hAnsi="Times New Roman" w:cs="Times New Roman"/>
          <w:kern w:val="0"/>
          <w:sz w:val="24"/>
          <w:szCs w:val="24"/>
        </w:rPr>
        <w:t>aplicabil</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numPr>
          <w:ilvl w:val="0"/>
          <w:numId w:val="28"/>
        </w:numPr>
        <w:spacing w:after="60" w:line="276" w:lineRule="auto"/>
        <w:jc w:val="both"/>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Prezenta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Convenție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Statutul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anexat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măsura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care </w:t>
      </w:r>
      <w:proofErr w:type="spellStart"/>
      <w:r w:rsidRPr="00653202">
        <w:rPr>
          <w:rFonts w:ascii="Times New Roman" w:eastAsia="Times New Roman" w:hAnsi="Times New Roman" w:cs="Times New Roman"/>
          <w:kern w:val="0"/>
          <w:sz w:val="24"/>
          <w:szCs w:val="24"/>
        </w:rPr>
        <w:t>sunt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autorizate</w:t>
      </w:r>
      <w:proofErr w:type="spellEnd"/>
      <w:r w:rsidRPr="00653202">
        <w:rPr>
          <w:rFonts w:ascii="Times New Roman" w:eastAsia="Times New Roman" w:hAnsi="Times New Roman" w:cs="Times New Roman"/>
          <w:kern w:val="0"/>
          <w:sz w:val="24"/>
          <w:szCs w:val="24"/>
        </w:rPr>
        <w:t xml:space="preserve"> de </w:t>
      </w:r>
      <w:proofErr w:type="spellStart"/>
      <w:r w:rsidRPr="00653202">
        <w:rPr>
          <w:rFonts w:ascii="Times New Roman" w:eastAsia="Times New Roman" w:hAnsi="Times New Roman" w:cs="Times New Roman"/>
          <w:kern w:val="0"/>
          <w:sz w:val="24"/>
          <w:szCs w:val="24"/>
        </w:rPr>
        <w:t>Regulament</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numPr>
          <w:ilvl w:val="0"/>
          <w:numId w:val="28"/>
        </w:numPr>
        <w:spacing w:after="60" w:line="276" w:lineRule="auto"/>
        <w:jc w:val="both"/>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Dreptul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statului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membru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care GECT </w:t>
      </w:r>
      <w:proofErr w:type="spellStart"/>
      <w:r w:rsidRPr="00653202">
        <w:rPr>
          <w:rFonts w:ascii="Times New Roman" w:eastAsia="Times New Roman" w:hAnsi="Times New Roman" w:cs="Times New Roman"/>
          <w:kern w:val="0"/>
          <w:sz w:val="24"/>
          <w:szCs w:val="24"/>
        </w:rPr>
        <w:t>își</w:t>
      </w:r>
      <w:proofErr w:type="spellEnd"/>
      <w:r w:rsidRPr="00653202">
        <w:rPr>
          <w:rFonts w:ascii="Times New Roman" w:eastAsia="Times New Roman" w:hAnsi="Times New Roman" w:cs="Times New Roman"/>
          <w:kern w:val="0"/>
          <w:sz w:val="24"/>
          <w:szCs w:val="24"/>
        </w:rPr>
        <w:t xml:space="preserve"> are </w:t>
      </w:r>
      <w:proofErr w:type="spellStart"/>
      <w:r w:rsidRPr="00653202">
        <w:rPr>
          <w:rFonts w:ascii="Times New Roman" w:eastAsia="Times New Roman" w:hAnsi="Times New Roman" w:cs="Times New Roman"/>
          <w:kern w:val="0"/>
          <w:sz w:val="24"/>
          <w:szCs w:val="24"/>
        </w:rPr>
        <w:t>sediul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România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special OUG nr. 127/2007 </w:t>
      </w:r>
      <w:proofErr w:type="spellStart"/>
      <w:r w:rsidRPr="00653202">
        <w:rPr>
          <w:rFonts w:ascii="Times New Roman" w:eastAsia="Times New Roman" w:hAnsi="Times New Roman" w:cs="Times New Roman"/>
          <w:kern w:val="0"/>
          <w:sz w:val="24"/>
          <w:szCs w:val="24"/>
        </w:rPr>
        <w:t>cu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modificările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completările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ulterioare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pentru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aspectele</w:t>
      </w:r>
      <w:proofErr w:type="spellEnd"/>
      <w:r w:rsidRPr="00653202">
        <w:rPr>
          <w:rFonts w:ascii="Times New Roman" w:eastAsia="Times New Roman" w:hAnsi="Times New Roman" w:cs="Times New Roman"/>
          <w:kern w:val="0"/>
          <w:sz w:val="24"/>
          <w:szCs w:val="24"/>
        </w:rPr>
        <w:t xml:space="preserve"> care nu </w:t>
      </w:r>
      <w:proofErr w:type="spellStart"/>
      <w:r w:rsidRPr="00653202">
        <w:rPr>
          <w:rFonts w:ascii="Times New Roman" w:eastAsia="Times New Roman" w:hAnsi="Times New Roman" w:cs="Times New Roman"/>
          <w:kern w:val="0"/>
          <w:sz w:val="24"/>
          <w:szCs w:val="24"/>
        </w:rPr>
        <w:t>sunt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reglementate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sau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sunt</w:t>
      </w:r>
      <w:proofErr w:type="spellEnd"/>
      <w:r w:rsidRPr="00653202">
        <w:rPr>
          <w:rFonts w:ascii="Times New Roman" w:eastAsia="Times New Roman" w:hAnsi="Times New Roman" w:cs="Times New Roman"/>
          <w:kern w:val="0"/>
          <w:sz w:val="24"/>
          <w:szCs w:val="24"/>
        </w:rPr>
        <w:t xml:space="preserve"> delegate de </w:t>
      </w:r>
      <w:proofErr w:type="spellStart"/>
      <w:r w:rsidRPr="00653202">
        <w:rPr>
          <w:rFonts w:ascii="Times New Roman" w:eastAsia="Times New Roman" w:hAnsi="Times New Roman" w:cs="Times New Roman"/>
          <w:kern w:val="0"/>
          <w:sz w:val="24"/>
          <w:szCs w:val="24"/>
        </w:rPr>
        <w:t>Regulamentul</w:t>
      </w:r>
      <w:proofErr w:type="spellEnd"/>
      <w:r w:rsidRPr="00653202">
        <w:rPr>
          <w:rFonts w:ascii="Times New Roman" w:eastAsia="Times New Roman" w:hAnsi="Times New Roman" w:cs="Times New Roman"/>
          <w:kern w:val="0"/>
          <w:sz w:val="24"/>
          <w:szCs w:val="24"/>
        </w:rPr>
        <w:t xml:space="preserve"> UE.</w:t>
      </w:r>
    </w:p>
    <w:p w:rsidR="00653202" w:rsidRPr="00653202" w:rsidRDefault="00653202" w:rsidP="00653202">
      <w:pPr>
        <w:spacing w:after="0" w:line="240" w:lineRule="auto"/>
        <w:jc w:val="both"/>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Pentru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interpretarea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asigurarea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respectării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prezentei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Convenții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dreptul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aplicabil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este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Regulamentul</w:t>
      </w:r>
      <w:proofErr w:type="spellEnd"/>
      <w:r w:rsidRPr="00653202">
        <w:rPr>
          <w:rFonts w:ascii="Times New Roman" w:eastAsia="Times New Roman" w:hAnsi="Times New Roman" w:cs="Times New Roman"/>
          <w:kern w:val="0"/>
          <w:sz w:val="24"/>
          <w:szCs w:val="24"/>
        </w:rPr>
        <w:t xml:space="preserve"> (CE) nr. 1082/2006 (</w:t>
      </w:r>
      <w:proofErr w:type="spellStart"/>
      <w:r w:rsidRPr="00653202">
        <w:rPr>
          <w:rFonts w:ascii="Times New Roman" w:eastAsia="Times New Roman" w:hAnsi="Times New Roman" w:cs="Times New Roman"/>
          <w:kern w:val="0"/>
          <w:sz w:val="24"/>
          <w:szCs w:val="24"/>
        </w:rPr>
        <w:t>modificat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completat</w:t>
      </w:r>
      <w:proofErr w:type="spellEnd"/>
      <w:r w:rsidRPr="00653202">
        <w:rPr>
          <w:rFonts w:ascii="Times New Roman" w:eastAsia="Times New Roman" w:hAnsi="Times New Roman" w:cs="Times New Roman"/>
          <w:kern w:val="0"/>
          <w:sz w:val="24"/>
          <w:szCs w:val="24"/>
        </w:rPr>
        <w:t xml:space="preserve"> cu </w:t>
      </w:r>
      <w:proofErr w:type="spellStart"/>
      <w:r w:rsidRPr="00653202">
        <w:rPr>
          <w:rFonts w:ascii="Times New Roman" w:eastAsia="Times New Roman" w:hAnsi="Times New Roman" w:cs="Times New Roman"/>
          <w:kern w:val="0"/>
          <w:sz w:val="24"/>
          <w:szCs w:val="24"/>
        </w:rPr>
        <w:t>dreptul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național</w:t>
      </w:r>
      <w:proofErr w:type="spellEnd"/>
      <w:r w:rsidRPr="00653202">
        <w:rPr>
          <w:rFonts w:ascii="Times New Roman" w:eastAsia="Times New Roman" w:hAnsi="Times New Roman" w:cs="Times New Roman"/>
          <w:kern w:val="0"/>
          <w:sz w:val="24"/>
          <w:szCs w:val="24"/>
        </w:rPr>
        <w:t xml:space="preserve"> al </w:t>
      </w:r>
      <w:proofErr w:type="spellStart"/>
      <w:r w:rsidRPr="00653202">
        <w:rPr>
          <w:rFonts w:ascii="Times New Roman" w:eastAsia="Times New Roman" w:hAnsi="Times New Roman" w:cs="Times New Roman"/>
          <w:kern w:val="0"/>
          <w:sz w:val="24"/>
          <w:szCs w:val="24"/>
        </w:rPr>
        <w:t>României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r w:rsidRPr="00653202">
        <w:rPr>
          <w:rFonts w:ascii="Times New Roman" w:eastAsia="Times New Roman" w:hAnsi="Times New Roman" w:cs="Times New Roman"/>
          <w:kern w:val="0"/>
          <w:sz w:val="24"/>
          <w:szCs w:val="24"/>
        </w:rPr>
        <w:lastRenderedPageBreak/>
        <w:t xml:space="preserve">special OUG nr. 127/2007 </w:t>
      </w:r>
      <w:proofErr w:type="spellStart"/>
      <w:r w:rsidRPr="00653202">
        <w:rPr>
          <w:rFonts w:ascii="Times New Roman" w:eastAsia="Times New Roman" w:hAnsi="Times New Roman" w:cs="Times New Roman"/>
          <w:kern w:val="0"/>
          <w:sz w:val="24"/>
          <w:szCs w:val="24"/>
        </w:rPr>
        <w:t>cu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modificările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ulterioare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conformitate</w:t>
      </w:r>
      <w:proofErr w:type="spellEnd"/>
      <w:r w:rsidRPr="00653202">
        <w:rPr>
          <w:rFonts w:ascii="Times New Roman" w:eastAsia="Times New Roman" w:hAnsi="Times New Roman" w:cs="Times New Roman"/>
          <w:kern w:val="0"/>
          <w:sz w:val="24"/>
          <w:szCs w:val="24"/>
        </w:rPr>
        <w:t xml:space="preserve"> cu </w:t>
      </w:r>
      <w:proofErr w:type="spellStart"/>
      <w:r w:rsidRPr="00653202">
        <w:rPr>
          <w:rFonts w:ascii="Times New Roman" w:eastAsia="Times New Roman" w:hAnsi="Times New Roman" w:cs="Times New Roman"/>
          <w:kern w:val="0"/>
          <w:sz w:val="24"/>
          <w:szCs w:val="24"/>
        </w:rPr>
        <w:t>prevederile</w:t>
      </w:r>
      <w:proofErr w:type="spellEnd"/>
      <w:r w:rsidRPr="00653202">
        <w:rPr>
          <w:rFonts w:ascii="Times New Roman" w:eastAsia="Times New Roman" w:hAnsi="Times New Roman" w:cs="Times New Roman"/>
          <w:kern w:val="0"/>
          <w:sz w:val="24"/>
          <w:szCs w:val="24"/>
        </w:rPr>
        <w:t xml:space="preserve"> art. 8 </w:t>
      </w:r>
      <w:proofErr w:type="spellStart"/>
      <w:r w:rsidRPr="00653202">
        <w:rPr>
          <w:rFonts w:ascii="Times New Roman" w:eastAsia="Times New Roman" w:hAnsi="Times New Roman" w:cs="Times New Roman"/>
          <w:kern w:val="0"/>
          <w:sz w:val="24"/>
          <w:szCs w:val="24"/>
        </w:rPr>
        <w:t>alin</w:t>
      </w:r>
      <w:proofErr w:type="spellEnd"/>
      <w:r w:rsidRPr="00653202">
        <w:rPr>
          <w:rFonts w:ascii="Times New Roman" w:eastAsia="Times New Roman" w:hAnsi="Times New Roman" w:cs="Times New Roman"/>
          <w:kern w:val="0"/>
          <w:sz w:val="24"/>
          <w:szCs w:val="24"/>
        </w:rPr>
        <w:t xml:space="preserve">. (2) lit. (g) din </w:t>
      </w:r>
      <w:proofErr w:type="spellStart"/>
      <w:r w:rsidRPr="00653202">
        <w:rPr>
          <w:rFonts w:ascii="Times New Roman" w:eastAsia="Times New Roman" w:hAnsi="Times New Roman" w:cs="Times New Roman"/>
          <w:kern w:val="0"/>
          <w:sz w:val="24"/>
          <w:szCs w:val="24"/>
        </w:rPr>
        <w:t>Regulament</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spacing w:after="120" w:line="276" w:lineRule="auto"/>
        <w:jc w:val="both"/>
        <w:rPr>
          <w:rFonts w:ascii="Arial" w:eastAsia="Times New Roman" w:hAnsi="Arial" w:cs="Times New Roman"/>
          <w:kern w:val="0"/>
        </w:rPr>
      </w:pPr>
      <w:r w:rsidRPr="00653202">
        <w:rPr>
          <w:rFonts w:ascii="Arial" w:eastAsia="Times New Roman" w:hAnsi="Arial" w:cs="Times New Roman"/>
          <w:kern w:val="0"/>
        </w:rPr>
        <w:t xml:space="preserve">(2) </w:t>
      </w:r>
      <w:proofErr w:type="spellStart"/>
      <w:r w:rsidRPr="00653202">
        <w:rPr>
          <w:rFonts w:ascii="Arial" w:eastAsia="Times New Roman" w:hAnsi="Arial" w:cs="Times New Roman"/>
          <w:kern w:val="0"/>
        </w:rPr>
        <w:t>Dreptul</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aplicabil</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actelor</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și</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activităților</w:t>
      </w:r>
      <w:proofErr w:type="spellEnd"/>
      <w:r w:rsidRPr="00653202">
        <w:rPr>
          <w:rFonts w:ascii="Arial" w:eastAsia="Times New Roman" w:hAnsi="Arial" w:cs="Times New Roman"/>
          <w:kern w:val="0"/>
        </w:rPr>
        <w:t xml:space="preserve"> GECT </w:t>
      </w:r>
      <w:proofErr w:type="spellStart"/>
      <w:r w:rsidRPr="00653202">
        <w:rPr>
          <w:rFonts w:ascii="Arial" w:eastAsia="Times New Roman" w:hAnsi="Arial" w:cs="Times New Roman"/>
          <w:kern w:val="0"/>
        </w:rPr>
        <w:t>desfășurate</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pe</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teritoriul</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statelor</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în</w:t>
      </w:r>
      <w:proofErr w:type="spellEnd"/>
      <w:r w:rsidRPr="00653202">
        <w:rPr>
          <w:rFonts w:ascii="Arial" w:eastAsia="Times New Roman" w:hAnsi="Arial" w:cs="Times New Roman"/>
          <w:kern w:val="0"/>
        </w:rPr>
        <w:t xml:space="preserve"> care </w:t>
      </w:r>
      <w:proofErr w:type="spellStart"/>
      <w:r w:rsidRPr="00653202">
        <w:rPr>
          <w:rFonts w:ascii="Arial" w:eastAsia="Times New Roman" w:hAnsi="Arial" w:cs="Times New Roman"/>
          <w:kern w:val="0"/>
        </w:rPr>
        <w:t>își</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exercită</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competențele</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organele</w:t>
      </w:r>
      <w:proofErr w:type="spellEnd"/>
      <w:r w:rsidRPr="00653202">
        <w:rPr>
          <w:rFonts w:ascii="Arial" w:eastAsia="Times New Roman" w:hAnsi="Arial" w:cs="Times New Roman"/>
          <w:kern w:val="0"/>
        </w:rPr>
        <w:t xml:space="preserve"> GECT </w:t>
      </w:r>
      <w:proofErr w:type="spellStart"/>
      <w:r w:rsidRPr="00653202">
        <w:rPr>
          <w:rFonts w:ascii="Arial" w:eastAsia="Times New Roman" w:hAnsi="Arial" w:cs="Times New Roman"/>
          <w:kern w:val="0"/>
        </w:rPr>
        <w:t>este</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dreptul</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național</w:t>
      </w:r>
      <w:proofErr w:type="spellEnd"/>
      <w:r w:rsidRPr="00653202">
        <w:rPr>
          <w:rFonts w:ascii="Arial" w:eastAsia="Times New Roman" w:hAnsi="Arial" w:cs="Times New Roman"/>
          <w:kern w:val="0"/>
        </w:rPr>
        <w:t xml:space="preserve"> al </w:t>
      </w:r>
      <w:proofErr w:type="spellStart"/>
      <w:r w:rsidRPr="00653202">
        <w:rPr>
          <w:rFonts w:ascii="Arial" w:eastAsia="Times New Roman" w:hAnsi="Arial" w:cs="Times New Roman"/>
          <w:kern w:val="0"/>
        </w:rPr>
        <w:t>statului</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respectiv</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în</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conformitate</w:t>
      </w:r>
      <w:proofErr w:type="spellEnd"/>
      <w:r w:rsidRPr="00653202">
        <w:rPr>
          <w:rFonts w:ascii="Arial" w:eastAsia="Times New Roman" w:hAnsi="Arial" w:cs="Times New Roman"/>
          <w:kern w:val="0"/>
        </w:rPr>
        <w:t xml:space="preserve"> cu </w:t>
      </w:r>
      <w:proofErr w:type="spellStart"/>
      <w:r w:rsidRPr="00653202">
        <w:rPr>
          <w:rFonts w:ascii="Arial" w:eastAsia="Times New Roman" w:hAnsi="Arial" w:cs="Times New Roman"/>
          <w:kern w:val="0"/>
        </w:rPr>
        <w:t>prevederile</w:t>
      </w:r>
      <w:proofErr w:type="spellEnd"/>
      <w:r w:rsidRPr="00653202">
        <w:rPr>
          <w:rFonts w:ascii="Arial" w:eastAsia="Times New Roman" w:hAnsi="Arial" w:cs="Times New Roman"/>
          <w:kern w:val="0"/>
        </w:rPr>
        <w:t xml:space="preserve"> art. 8 </w:t>
      </w:r>
      <w:proofErr w:type="spellStart"/>
      <w:r w:rsidRPr="00653202">
        <w:rPr>
          <w:rFonts w:ascii="Arial" w:eastAsia="Times New Roman" w:hAnsi="Arial" w:cs="Times New Roman"/>
          <w:kern w:val="0"/>
        </w:rPr>
        <w:t>alin</w:t>
      </w:r>
      <w:proofErr w:type="spellEnd"/>
      <w:r w:rsidRPr="00653202">
        <w:rPr>
          <w:rFonts w:ascii="Arial" w:eastAsia="Times New Roman" w:hAnsi="Arial" w:cs="Times New Roman"/>
          <w:kern w:val="0"/>
        </w:rPr>
        <w:t xml:space="preserve">. (2) lit. (h) din </w:t>
      </w:r>
      <w:proofErr w:type="spellStart"/>
      <w:r w:rsidRPr="00653202">
        <w:rPr>
          <w:rFonts w:ascii="Arial" w:eastAsia="Times New Roman" w:hAnsi="Arial" w:cs="Times New Roman"/>
          <w:kern w:val="0"/>
        </w:rPr>
        <w:t>Regulament</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În</w:t>
      </w:r>
      <w:proofErr w:type="spellEnd"/>
      <w:r w:rsidRPr="00653202">
        <w:rPr>
          <w:rFonts w:ascii="Arial" w:eastAsia="Times New Roman" w:hAnsi="Arial" w:cs="Times New Roman"/>
          <w:kern w:val="0"/>
        </w:rPr>
        <w:t xml:space="preserve"> special:</w:t>
      </w:r>
    </w:p>
    <w:p w:rsidR="00653202" w:rsidRPr="00653202" w:rsidRDefault="00653202" w:rsidP="00653202">
      <w:pPr>
        <w:numPr>
          <w:ilvl w:val="0"/>
          <w:numId w:val="28"/>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activitățile desfășurate în România — legislația română;</w:t>
      </w:r>
    </w:p>
    <w:p w:rsidR="00653202" w:rsidRPr="00653202" w:rsidRDefault="00653202" w:rsidP="00653202">
      <w:pPr>
        <w:numPr>
          <w:ilvl w:val="0"/>
          <w:numId w:val="28"/>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activitățile desfășurate în Bulgaria — legislația bulgară;</w:t>
      </w:r>
    </w:p>
    <w:p w:rsidR="00653202" w:rsidRPr="00653202" w:rsidRDefault="00653202" w:rsidP="00653202">
      <w:pPr>
        <w:numPr>
          <w:ilvl w:val="0"/>
          <w:numId w:val="28"/>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activitățile desfășurate în Republica Moldova — legislația moldovenească și acordurile bilaterale aplicabile;</w:t>
      </w:r>
    </w:p>
    <w:p w:rsidR="00653202" w:rsidRPr="00653202" w:rsidRDefault="00653202" w:rsidP="00653202">
      <w:pPr>
        <w:numPr>
          <w:ilvl w:val="0"/>
          <w:numId w:val="28"/>
        </w:numPr>
        <w:spacing w:after="60" w:line="276"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activitățile desfășurate în Ucraina — legislația ucraineană și acordurile bilaterale aplicabile.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Activitățile GECT desfășurate în interiorul Uniunii Europene sunt reglementate de dreptul aplicabil al UE și de dreptul intern precizat în prezenta Convenție, în conformitate cu art. 2 alin. (1a) din Regulamentul (CE) nr. 1082/2006. Activitățile GECT cofinanțate din bugetul Uniunii sunt conforme cu cerințele prevăzute în dreptul aplicabil al UE și în dreptul intern referitor la aplicarea dreptului UE.</w:t>
      </w:r>
    </w:p>
    <w:p w:rsidR="00653202" w:rsidRPr="00653202" w:rsidRDefault="00653202" w:rsidP="00653202">
      <w:pPr>
        <w:spacing w:after="120" w:line="276" w:lineRule="auto"/>
        <w:jc w:val="both"/>
        <w:rPr>
          <w:rFonts w:ascii="Arial" w:eastAsia="Times New Roman" w:hAnsi="Arial" w:cs="Times New Roman"/>
          <w:kern w:val="0"/>
          <w:lang w:val="pt-BR"/>
        </w:rPr>
      </w:pPr>
      <w:r w:rsidRPr="00653202">
        <w:rPr>
          <w:rFonts w:ascii="Arial" w:eastAsia="Times New Roman" w:hAnsi="Arial" w:cs="Times New Roman"/>
          <w:kern w:val="0"/>
          <w:lang w:val="it-IT"/>
        </w:rPr>
        <w:t xml:space="preserve">(4) Fără a aduce atingere ierarhiei normelor prevăzute la alin. (1), activitățile GECT sunt guvernate, în funcție de domeniu, de următoarele norme ale Uniunii Europene și norme naționale direct relevante, în conformitate cu prevederile art. 8 alin. </w:t>
      </w:r>
      <w:r w:rsidRPr="00653202">
        <w:rPr>
          <w:rFonts w:ascii="Arial" w:eastAsia="Times New Roman" w:hAnsi="Arial" w:cs="Times New Roman"/>
          <w:kern w:val="0"/>
        </w:rPr>
        <w:t xml:space="preserve">(2) lit. </w:t>
      </w:r>
      <w:r w:rsidRPr="00653202">
        <w:rPr>
          <w:rFonts w:ascii="Arial" w:eastAsia="Times New Roman" w:hAnsi="Arial" w:cs="Times New Roman"/>
          <w:kern w:val="0"/>
          <w:lang w:val="pt-BR"/>
        </w:rPr>
        <w:t>(j) din Regulamentul CE) nr. 1082/2006, astfel cum a fost modificat prin Regulamentul (UE) nr. 1302/2013 :</w:t>
      </w:r>
    </w:p>
    <w:p w:rsidR="00653202" w:rsidRPr="00653202" w:rsidRDefault="00653202" w:rsidP="00653202">
      <w:pPr>
        <w:numPr>
          <w:ilvl w:val="1"/>
          <w:numId w:val="29"/>
        </w:numPr>
        <w:spacing w:after="60" w:line="276" w:lineRule="auto"/>
        <w:contextualSpacing/>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materia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achizițiilor</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publice</w:t>
      </w:r>
      <w:proofErr w:type="spellEnd"/>
      <w:r w:rsidRPr="00653202">
        <w:rPr>
          <w:rFonts w:ascii="Times New Roman" w:eastAsia="Times New Roman" w:hAnsi="Times New Roman" w:cs="Times New Roman"/>
          <w:kern w:val="0"/>
          <w:sz w:val="24"/>
          <w:szCs w:val="24"/>
        </w:rPr>
        <w:t xml:space="preserve"> — </w:t>
      </w:r>
      <w:proofErr w:type="spellStart"/>
      <w:r w:rsidRPr="00653202">
        <w:rPr>
          <w:rFonts w:ascii="Times New Roman" w:eastAsia="Times New Roman" w:hAnsi="Times New Roman" w:cs="Times New Roman"/>
          <w:kern w:val="0"/>
          <w:sz w:val="24"/>
          <w:szCs w:val="24"/>
        </w:rPr>
        <w:t>Directivele</w:t>
      </w:r>
      <w:proofErr w:type="spellEnd"/>
      <w:r w:rsidRPr="00653202">
        <w:rPr>
          <w:rFonts w:ascii="Times New Roman" w:eastAsia="Times New Roman" w:hAnsi="Times New Roman" w:cs="Times New Roman"/>
          <w:kern w:val="0"/>
          <w:sz w:val="24"/>
          <w:szCs w:val="24"/>
        </w:rPr>
        <w:t xml:space="preserve"> 2014/24/UE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 xml:space="preserve"> 2014/25/UE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legislația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națională</w:t>
      </w:r>
      <w:proofErr w:type="spellEnd"/>
      <w:r w:rsidRPr="00653202">
        <w:rPr>
          <w:rFonts w:ascii="Times New Roman" w:eastAsia="Times New Roman" w:hAnsi="Times New Roman" w:cs="Times New Roman"/>
          <w:kern w:val="0"/>
          <w:sz w:val="24"/>
          <w:szCs w:val="24"/>
        </w:rPr>
        <w:t xml:space="preserve"> de </w:t>
      </w:r>
      <w:proofErr w:type="spellStart"/>
      <w:r w:rsidRPr="00653202">
        <w:rPr>
          <w:rFonts w:ascii="Times New Roman" w:eastAsia="Times New Roman" w:hAnsi="Times New Roman" w:cs="Times New Roman"/>
          <w:kern w:val="0"/>
          <w:sz w:val="24"/>
          <w:szCs w:val="24"/>
        </w:rPr>
        <w:t>transpunere</w:t>
      </w:r>
      <w:proofErr w:type="spellEnd"/>
      <w:r w:rsidRPr="00653202">
        <w:rPr>
          <w:rFonts w:ascii="Times New Roman" w:eastAsia="Times New Roman" w:hAnsi="Times New Roman" w:cs="Times New Roman"/>
          <w:kern w:val="0"/>
          <w:sz w:val="24"/>
          <w:szCs w:val="24"/>
        </w:rPr>
        <w:t xml:space="preserve"> din </w:t>
      </w:r>
      <w:proofErr w:type="spellStart"/>
      <w:r w:rsidRPr="00653202">
        <w:rPr>
          <w:rFonts w:ascii="Times New Roman" w:eastAsia="Times New Roman" w:hAnsi="Times New Roman" w:cs="Times New Roman"/>
          <w:kern w:val="0"/>
          <w:sz w:val="24"/>
          <w:szCs w:val="24"/>
        </w:rPr>
        <w:t>statele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membre</w:t>
      </w:r>
      <w:proofErr w:type="spellEnd"/>
      <w:r w:rsidRPr="00653202">
        <w:rPr>
          <w:rFonts w:ascii="Times New Roman" w:eastAsia="Times New Roman" w:hAnsi="Times New Roman" w:cs="Times New Roman"/>
          <w:kern w:val="0"/>
          <w:sz w:val="24"/>
          <w:szCs w:val="24"/>
        </w:rPr>
        <w:t xml:space="preserve"> implicate;</w:t>
      </w:r>
    </w:p>
    <w:p w:rsidR="00653202" w:rsidRPr="00653202" w:rsidRDefault="00653202" w:rsidP="00653202">
      <w:pPr>
        <w:numPr>
          <w:ilvl w:val="1"/>
          <w:numId w:val="29"/>
        </w:numPr>
        <w:spacing w:after="60" w:line="276" w:lineRule="auto"/>
        <w:contextualSpacing/>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În materia ajutorului de stat — art. 107-109 TFUE și regulamentele aplicabile, inclusiv Regulamentul (UE) nr. 651/2014 (GBER);</w:t>
      </w:r>
    </w:p>
    <w:p w:rsidR="00653202" w:rsidRPr="00653202" w:rsidRDefault="00653202" w:rsidP="00653202">
      <w:pPr>
        <w:numPr>
          <w:ilvl w:val="1"/>
          <w:numId w:val="29"/>
        </w:numPr>
        <w:spacing w:after="60" w:line="276" w:lineRule="auto"/>
        <w:contextualSpacing/>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În materia protecției mediului — Directiva 2011/92/UE privind evaluarea impactului asupra mediului și legislația națională de transpunere;</w:t>
      </w:r>
    </w:p>
    <w:p w:rsidR="00653202" w:rsidRPr="00653202" w:rsidRDefault="00653202" w:rsidP="00653202">
      <w:pPr>
        <w:numPr>
          <w:ilvl w:val="1"/>
          <w:numId w:val="29"/>
        </w:numPr>
        <w:spacing w:after="60" w:line="276" w:lineRule="auto"/>
        <w:contextualSpacing/>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În materia protecției datelor cu caracter personal — Regulamentul (UE) 2016/679 (GDPR) și legislația națională aplicabilă;</w:t>
      </w:r>
    </w:p>
    <w:p w:rsidR="00653202" w:rsidRPr="00653202" w:rsidRDefault="00653202" w:rsidP="00653202">
      <w:pPr>
        <w:numPr>
          <w:ilvl w:val="1"/>
          <w:numId w:val="29"/>
        </w:numPr>
        <w:spacing w:after="60" w:line="276" w:lineRule="auto"/>
        <w:contextualSpacing/>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În materia dreptului muncii — Regulamentul (CE) nr. 593/2008 (Roma I) privind legea aplicabilă obligațiilor contractuale și legislația muncii națională aplicabilă fiecărui stat;</w:t>
      </w:r>
    </w:p>
    <w:p w:rsidR="00653202" w:rsidRPr="00653202" w:rsidRDefault="00653202" w:rsidP="00653202">
      <w:pPr>
        <w:numPr>
          <w:ilvl w:val="1"/>
          <w:numId w:val="29"/>
        </w:numPr>
        <w:spacing w:after="60" w:line="276" w:lineRule="auto"/>
        <w:contextualSpacing/>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materia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securității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sociale</w:t>
      </w:r>
      <w:proofErr w:type="spellEnd"/>
      <w:r w:rsidRPr="00653202">
        <w:rPr>
          <w:rFonts w:ascii="Times New Roman" w:eastAsia="Times New Roman" w:hAnsi="Times New Roman" w:cs="Times New Roman"/>
          <w:kern w:val="0"/>
          <w:sz w:val="24"/>
          <w:szCs w:val="24"/>
        </w:rPr>
        <w:t xml:space="preserve"> — </w:t>
      </w:r>
      <w:proofErr w:type="spellStart"/>
      <w:r w:rsidRPr="00653202">
        <w:rPr>
          <w:rFonts w:ascii="Times New Roman" w:eastAsia="Times New Roman" w:hAnsi="Times New Roman" w:cs="Times New Roman"/>
          <w:kern w:val="0"/>
          <w:sz w:val="24"/>
          <w:szCs w:val="24"/>
        </w:rPr>
        <w:t>Regulamentul</w:t>
      </w:r>
      <w:proofErr w:type="spellEnd"/>
      <w:r w:rsidRPr="00653202">
        <w:rPr>
          <w:rFonts w:ascii="Times New Roman" w:eastAsia="Times New Roman" w:hAnsi="Times New Roman" w:cs="Times New Roman"/>
          <w:kern w:val="0"/>
          <w:sz w:val="24"/>
          <w:szCs w:val="24"/>
        </w:rPr>
        <w:t xml:space="preserve"> (CE) nr. 883/2004 </w:t>
      </w:r>
      <w:proofErr w:type="spellStart"/>
      <w:r w:rsidRPr="00653202">
        <w:rPr>
          <w:rFonts w:ascii="Times New Roman" w:eastAsia="Times New Roman" w:hAnsi="Times New Roman" w:cs="Times New Roman"/>
          <w:kern w:val="0"/>
          <w:sz w:val="24"/>
          <w:szCs w:val="24"/>
        </w:rPr>
        <w:t>privind</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coordonarea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sistemelor</w:t>
      </w:r>
      <w:proofErr w:type="spellEnd"/>
      <w:r w:rsidRPr="00653202">
        <w:rPr>
          <w:rFonts w:ascii="Times New Roman" w:eastAsia="Times New Roman" w:hAnsi="Times New Roman" w:cs="Times New Roman"/>
          <w:kern w:val="0"/>
          <w:sz w:val="24"/>
          <w:szCs w:val="24"/>
        </w:rPr>
        <w:t xml:space="preserve"> de </w:t>
      </w:r>
      <w:proofErr w:type="spellStart"/>
      <w:r w:rsidRPr="00653202">
        <w:rPr>
          <w:rFonts w:ascii="Times New Roman" w:eastAsia="Times New Roman" w:hAnsi="Times New Roman" w:cs="Times New Roman"/>
          <w:kern w:val="0"/>
          <w:sz w:val="24"/>
          <w:szCs w:val="24"/>
        </w:rPr>
        <w:t>securitate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socială</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numPr>
          <w:ilvl w:val="1"/>
          <w:numId w:val="29"/>
        </w:numPr>
        <w:spacing w:after="60" w:line="276" w:lineRule="auto"/>
        <w:contextualSpacing/>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În materia controlului fondurilor UE — regulamentele aplicabile fondurilor structurale și de investiții europene, inclusiv Regulamentul (UE) 2021/1060 (RDC) și regulamentele specifice fiecărui fond.</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Lista prevăzută la alin. (4) se completează prin hotărâre a Consiliului de Administrare, fără a fi necesară modificarea prezentei Convenții.</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(5) Orice litigiu între GECT și membrii săi, sau între membri în legătură cu GECT, va fi soluționat în conformitate cu procedura stabilită la art. 44 din Statut.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10 — Controlul gestiunii fondurilor publice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lastRenderedPageBreak/>
        <w:t>(1) Controlul gestiunii fondurilor publice ale GECT este organizat de autoritățile competente ale statului de sediu (România), în conformitate cu prevederile art. 6 alin. (1) din Regulamentul (CE) nr. 1082/2006.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Autoritățile competente din România stabilesc aranjamentele necesare pentru ca autoritățile competente din Bulgaria, Republica Moldova și Ucraina să efectueze controale pe teritoriul lor pentru actele GECT derulate pe acele teritorii, și să facă schimb de informații relevante, în conformitate cu prevederile art. 6 alin. (2) din Regulament.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Controlul acțiunilor GECT cofinanțate din bugetul Uniunii Europene se supune legislației UE aplicabile controlului fondurilor europene;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Membrii recunosc reciproc actele administrative, certificările și documentele emise de autoritățile competente ale celorlalte state în legătură cu activitatea GECT, în conformitate cu acordurile bilaterale aplicabile și cu principiul cooperării loiale, potrivit art. 8 alin. (2) lit. (m) din Regulament.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(5) Autoritățile de control din statele implicate fac schimb de informații și documente necesare exercitării controlului, în baza aranjamentelor stabilite conform alin. (2).</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11 — Limbile oficiale și de lucru</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Limbile oficiale ale GECT EAST GATE sunt: română, ucraineană și bulgară.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Limbile de lucru ale GECT sunt română și engleză.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Documentele esențiale (Convenția, Statutul, bugetul, rapoartele anuale, hotărârile Adunării Generale) se traduc în toate limbile oficiale. În caz de divergență de interpretare, textul în limba română (limba statului de sediu) prevalează.</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12 — Organele și competențele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În conformitate cu prevederile art. 10 din Regulamentul (CE) nr. 1082/2006, GECT EAST GATE are cel puțin următoarele organe: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Adunarea Generală — organ format din reprezentanții tuturor membrilor, care exercită puterile supreme de decizie ale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Directorul — reprezentantul legal al GECT, responsabil de gestiunea operațională și de reprezentarea GECT în relațiile cu terții.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(2) Pe lângă organele obligatorii prevăzute la alin. </w:t>
      </w:r>
      <w:r w:rsidRPr="00653202">
        <w:rPr>
          <w:rFonts w:ascii="Times New Roman" w:eastAsia="Times New Roman" w:hAnsi="Times New Roman" w:cs="Times New Roman"/>
          <w:kern w:val="0"/>
          <w:sz w:val="24"/>
          <w:szCs w:val="24"/>
        </w:rPr>
        <w:t xml:space="preserve">(1), GECT EAST GATE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conformitate</w:t>
      </w:r>
      <w:proofErr w:type="spellEnd"/>
      <w:r w:rsidRPr="00653202">
        <w:rPr>
          <w:rFonts w:ascii="Times New Roman" w:eastAsia="Times New Roman" w:hAnsi="Times New Roman" w:cs="Times New Roman"/>
          <w:kern w:val="0"/>
          <w:sz w:val="24"/>
          <w:szCs w:val="24"/>
        </w:rPr>
        <w:t xml:space="preserve"> cu art. 10 </w:t>
      </w:r>
      <w:proofErr w:type="spellStart"/>
      <w:r w:rsidRPr="00653202">
        <w:rPr>
          <w:rFonts w:ascii="Times New Roman" w:eastAsia="Times New Roman" w:hAnsi="Times New Roman" w:cs="Times New Roman"/>
          <w:kern w:val="0"/>
          <w:sz w:val="24"/>
          <w:szCs w:val="24"/>
        </w:rPr>
        <w:t>alin</w:t>
      </w:r>
      <w:proofErr w:type="spellEnd"/>
      <w:r w:rsidRPr="00653202">
        <w:rPr>
          <w:rFonts w:ascii="Times New Roman" w:eastAsia="Times New Roman" w:hAnsi="Times New Roman" w:cs="Times New Roman"/>
          <w:kern w:val="0"/>
          <w:sz w:val="24"/>
          <w:szCs w:val="24"/>
        </w:rPr>
        <w:t xml:space="preserve">. </w:t>
      </w:r>
      <w:r w:rsidRPr="00653202">
        <w:rPr>
          <w:rFonts w:ascii="Times New Roman" w:eastAsia="Times New Roman" w:hAnsi="Times New Roman" w:cs="Times New Roman"/>
          <w:kern w:val="0"/>
          <w:sz w:val="24"/>
          <w:szCs w:val="24"/>
          <w:lang w:val="it-IT"/>
        </w:rPr>
        <w:t xml:space="preserve">(2) și (3) din </w:t>
      </w:r>
      <w:r w:rsidRPr="00653202">
        <w:rPr>
          <w:rFonts w:ascii="Times New Roman" w:eastAsia="Times New Roman" w:hAnsi="Times New Roman" w:cs="Times New Roman"/>
          <w:kern w:val="0"/>
          <w:sz w:val="24"/>
          <w:szCs w:val="24"/>
          <w:lang w:val="pt-BR"/>
        </w:rPr>
        <w:t>Regulamentul (CE) nr. 1082/2006</w:t>
      </w:r>
      <w:r w:rsidRPr="00653202">
        <w:rPr>
          <w:rFonts w:ascii="Times New Roman" w:eastAsia="Times New Roman" w:hAnsi="Times New Roman" w:cs="Times New Roman"/>
          <w:kern w:val="0"/>
          <w:sz w:val="24"/>
          <w:szCs w:val="24"/>
          <w:lang w:val="it-IT"/>
        </w:rPr>
        <w:t xml:space="preserve"> instituie următoarele organe suplimentare, cu competențe clar definite în Statut:</w:t>
      </w:r>
    </w:p>
    <w:p w:rsidR="00653202" w:rsidRPr="00653202" w:rsidRDefault="00653202" w:rsidP="00653202">
      <w:pPr>
        <w:numPr>
          <w:ilvl w:val="0"/>
          <w:numId w:val="15"/>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Consiliul de Administrare — organul de guvernanță strategică;</w:t>
      </w:r>
    </w:p>
    <w:p w:rsidR="00653202" w:rsidRPr="00653202" w:rsidRDefault="00653202" w:rsidP="00653202">
      <w:pPr>
        <w:numPr>
          <w:ilvl w:val="0"/>
          <w:numId w:val="15"/>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Biroul Executiv — organul de conducere operativă curentă;</w:t>
      </w:r>
    </w:p>
    <w:p w:rsidR="00653202" w:rsidRPr="00653202" w:rsidRDefault="00653202" w:rsidP="00653202">
      <w:pPr>
        <w:numPr>
          <w:ilvl w:val="0"/>
          <w:numId w:val="15"/>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Președintele și Vicepreședinții — conducerea politică și de reprezentare;</w:t>
      </w:r>
    </w:p>
    <w:p w:rsidR="00653202" w:rsidRPr="00653202" w:rsidRDefault="00653202" w:rsidP="00653202">
      <w:pPr>
        <w:numPr>
          <w:ilvl w:val="0"/>
          <w:numId w:val="15"/>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Colegiile Naționale — structuri consultative și de coordonare pe țări;</w:t>
      </w:r>
    </w:p>
    <w:p w:rsidR="00653202" w:rsidRPr="00653202" w:rsidRDefault="00653202" w:rsidP="00653202">
      <w:pPr>
        <w:numPr>
          <w:ilvl w:val="0"/>
          <w:numId w:val="15"/>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Secretariatele Naționale — structuri operative permanente în fiecare țară;</w:t>
      </w:r>
    </w:p>
    <w:p w:rsidR="00653202" w:rsidRPr="00653202" w:rsidRDefault="00653202" w:rsidP="00653202">
      <w:pPr>
        <w:numPr>
          <w:ilvl w:val="0"/>
          <w:numId w:val="15"/>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Comisia de Cenzori — organul de control financiar intern;</w:t>
      </w:r>
    </w:p>
    <w:p w:rsidR="00653202" w:rsidRPr="00653202" w:rsidRDefault="00653202" w:rsidP="00653202">
      <w:pPr>
        <w:numPr>
          <w:ilvl w:val="0"/>
          <w:numId w:val="15"/>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Comitetul de Evaluare și Selecție — organul tehnic consultativ pentru proiecte.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Competențele, componența, procedurile decizionale și modalitățile de funcționare ale tuturor organelor sunt detaliate în Statut.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13 — Responsabilitate și răspundere</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lastRenderedPageBreak/>
        <w:t>(1) În conformitate cu prevederile art. 12 alin. (1) din Regulamentul (CE) nr. 1082/2006, GECT EAST GATE răspunde pentru toate datoriile sale, indiferent de natura acestora, cu întregul patrimoniu.</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(2) Membrii GECT răspund subsidiar pentru datoriile GECT, proporțional cu contribuția financiară la bugetul GECT, fără limitarea sumei, în conformitate cu art. 12 alin. (2) din Regulamentul (CE) nr. 1082/2006, cu excepția situației prevăzute la alin. (3)..</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(3) În conformitate cu prevederile art. 12 alin. (2a) din Regulamentul (CE) nr. 1082/2006, în cazul în care legislația națională a cel puțin unui membru limitează răspunderea acestuia, ceilalți membri pot, de asemenea, să își limiteze răspunderea prin modificarea prezentei Convenții. În acest caz, denumirea GECT va cuprinde termenul „limitată”, cerințele de publicare a Convenției, Statutului și conturilor vor fi cel puțin egale cu cele prevăzute pentru alte entități cu răspundere limitată din România, iar statul membru poate solicita GECT să aibă o asigurare corespunzătoare sau o garanție financiară pentru a acoperi riscurile specifice activităților sale.</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(4) Membrul care încetează calitatea de membru rămâne răspunzător pentru obligațiile GECT născute anterior datei efective a retragerii/excluderii, în conformitate cu prevederile art. 12 alin. (2) al doilea paragraf din Regulamentul (CE) nr. 1082/2006.</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(5) Regimul detaliat al răspunderii membrilor, inclusiv modalitățile de calcul al proporționalității și procedura de constatare a insuficienței patrimoniului, este stabilit prin Statut.</w:t>
      </w:r>
    </w:p>
    <w:p w:rsidR="00653202" w:rsidRPr="00653202" w:rsidRDefault="00653202" w:rsidP="00653202">
      <w:pPr>
        <w:spacing w:before="200" w:after="8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Articolul 14 — Personalul GECT</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(1) GECT este angajatorul unic al întregului personal, indiferent de țara în care se desfășoară activitatea. Contractele individuale de muncă sunt semnate de Director, în conformitate cu prevederile art. 23 din Statut.</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(2) Personalul din cadrul Secretariatului General este angajat în baza legislației muncii din România. Personalul din cadrul Secretariatelor Naționale poate fi angajat în baza legislației muncii a țării respective, cu respectarea Regulamentului (CE) nr. 593/2008 (Roma I), conform art. 39 din Statut. Contractele de muncă sunt, de regulă, de drept privat. Prin excepție, pentru personalul detașat de membri, pot fi aplicabile normele de drept public ale statului de origine, în conformitate cu Declarația comună privind art. 1 alin. (9) din Regulamentul (UE) nr. 1302/2013.</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(3) Salariile și contribuțiile sociale se achită din bugetul GECT. Directorul poate delega gestiunea curentă a personalului Secretarilor Naționali, în condițiile art. 26 alin. (6) din Statut.</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(4) În conformitate cu art. 8 alin. (2) lit. (k) din Regulamentul (CE) nr. 1082/2006, principiile care guvernează gestionarea personalului GECT sunt:</w:t>
      </w:r>
    </w:p>
    <w:p w:rsidR="00653202" w:rsidRPr="00653202" w:rsidRDefault="00653202" w:rsidP="00653202">
      <w:pPr>
        <w:numPr>
          <w:ilvl w:val="1"/>
          <w:numId w:val="3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Egalitatea de tratament și nediscriminarea în procesul de recrutare și pe parcursul raportului de muncă;</w:t>
      </w:r>
    </w:p>
    <w:p w:rsidR="00653202" w:rsidRPr="00653202" w:rsidRDefault="00653202" w:rsidP="00653202">
      <w:pPr>
        <w:numPr>
          <w:ilvl w:val="1"/>
          <w:numId w:val="3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Selecția pe bază de competență profesională, cu asigurarea unei reprezentări echilibrate a naționalităților din țările membre;</w:t>
      </w:r>
    </w:p>
    <w:p w:rsidR="00653202" w:rsidRPr="00653202" w:rsidRDefault="00653202" w:rsidP="00653202">
      <w:pPr>
        <w:numPr>
          <w:ilvl w:val="1"/>
          <w:numId w:val="33"/>
        </w:numPr>
        <w:spacing w:after="60" w:line="276" w:lineRule="auto"/>
        <w:contextualSpacing/>
        <w:jc w:val="both"/>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t>Transparența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procedurilor</w:t>
      </w:r>
      <w:proofErr w:type="spellEnd"/>
      <w:r w:rsidRPr="00653202">
        <w:rPr>
          <w:rFonts w:ascii="Times New Roman" w:eastAsia="Times New Roman" w:hAnsi="Times New Roman" w:cs="Times New Roman"/>
          <w:kern w:val="0"/>
          <w:sz w:val="24"/>
          <w:szCs w:val="24"/>
        </w:rPr>
        <w:t xml:space="preserve"> de </w:t>
      </w:r>
      <w:proofErr w:type="spellStart"/>
      <w:r w:rsidRPr="00653202">
        <w:rPr>
          <w:rFonts w:ascii="Times New Roman" w:eastAsia="Times New Roman" w:hAnsi="Times New Roman" w:cs="Times New Roman"/>
          <w:kern w:val="0"/>
          <w:sz w:val="24"/>
          <w:szCs w:val="24"/>
        </w:rPr>
        <w:t>recrutare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prin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publicarea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posturilor</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vacante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pe</w:t>
      </w:r>
      <w:proofErr w:type="spellEnd"/>
      <w:r w:rsidRPr="00653202">
        <w:rPr>
          <w:rFonts w:ascii="Times New Roman" w:eastAsia="Times New Roman" w:hAnsi="Times New Roman" w:cs="Times New Roman"/>
          <w:kern w:val="0"/>
          <w:sz w:val="24"/>
          <w:szCs w:val="24"/>
        </w:rPr>
        <w:t xml:space="preserve"> site-</w:t>
      </w:r>
      <w:proofErr w:type="spellStart"/>
      <w:r w:rsidRPr="00653202">
        <w:rPr>
          <w:rFonts w:ascii="Times New Roman" w:eastAsia="Times New Roman" w:hAnsi="Times New Roman" w:cs="Times New Roman"/>
          <w:kern w:val="0"/>
          <w:sz w:val="24"/>
          <w:szCs w:val="24"/>
        </w:rPr>
        <w:t>ul</w:t>
      </w:r>
      <w:proofErr w:type="spellEnd"/>
      <w:r w:rsidRPr="00653202">
        <w:rPr>
          <w:rFonts w:ascii="Times New Roman" w:eastAsia="Times New Roman" w:hAnsi="Times New Roman" w:cs="Times New Roman"/>
          <w:kern w:val="0"/>
          <w:sz w:val="24"/>
          <w:szCs w:val="24"/>
        </w:rPr>
        <w:t xml:space="preserve"> GECT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prin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canalele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Secretariatelor</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Naționale</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numPr>
          <w:ilvl w:val="1"/>
          <w:numId w:val="3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Respectarea legislației muncii a statului în care se desfășoară activitatea;</w:t>
      </w:r>
    </w:p>
    <w:p w:rsidR="00653202" w:rsidRPr="00653202" w:rsidRDefault="00653202" w:rsidP="00653202">
      <w:pPr>
        <w:numPr>
          <w:ilvl w:val="1"/>
          <w:numId w:val="33"/>
        </w:numPr>
        <w:spacing w:after="60" w:line="276" w:lineRule="auto"/>
        <w:contextualSpacing/>
        <w:jc w:val="both"/>
        <w:rPr>
          <w:rFonts w:ascii="Times New Roman" w:eastAsia="Times New Roman" w:hAnsi="Times New Roman" w:cs="Times New Roman"/>
          <w:kern w:val="0"/>
          <w:sz w:val="24"/>
          <w:szCs w:val="24"/>
        </w:rPr>
      </w:pPr>
      <w:proofErr w:type="spellStart"/>
      <w:r w:rsidRPr="00653202">
        <w:rPr>
          <w:rFonts w:ascii="Times New Roman" w:eastAsia="Times New Roman" w:hAnsi="Times New Roman" w:cs="Times New Roman"/>
          <w:kern w:val="0"/>
          <w:sz w:val="24"/>
          <w:szCs w:val="24"/>
        </w:rPr>
        <w:lastRenderedPageBreak/>
        <w:t>Securitatea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sănătatea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muncă</w:t>
      </w:r>
      <w:proofErr w:type="spellEnd"/>
      <w:r w:rsidRPr="00653202">
        <w:rPr>
          <w:rFonts w:ascii="Times New Roman" w:eastAsia="Times New Roman" w:hAnsi="Times New Roman" w:cs="Times New Roman"/>
          <w:kern w:val="0"/>
          <w:sz w:val="24"/>
          <w:szCs w:val="24"/>
        </w:rPr>
        <w:t xml:space="preserve">, conform </w:t>
      </w:r>
      <w:proofErr w:type="spellStart"/>
      <w:r w:rsidRPr="00653202">
        <w:rPr>
          <w:rFonts w:ascii="Times New Roman" w:eastAsia="Times New Roman" w:hAnsi="Times New Roman" w:cs="Times New Roman"/>
          <w:kern w:val="0"/>
          <w:sz w:val="24"/>
          <w:szCs w:val="24"/>
        </w:rPr>
        <w:t>legislației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aplicabile</w:t>
      </w:r>
      <w:proofErr w:type="spellEnd"/>
      <w:r w:rsidRPr="00653202">
        <w:rPr>
          <w:rFonts w:ascii="Times New Roman" w:eastAsia="Times New Roman" w:hAnsi="Times New Roman" w:cs="Times New Roman"/>
          <w:kern w:val="0"/>
          <w:sz w:val="24"/>
          <w:szCs w:val="24"/>
        </w:rPr>
        <w:t xml:space="preserve"> din </w:t>
      </w:r>
      <w:proofErr w:type="spellStart"/>
      <w:r w:rsidRPr="00653202">
        <w:rPr>
          <w:rFonts w:ascii="Times New Roman" w:eastAsia="Times New Roman" w:hAnsi="Times New Roman" w:cs="Times New Roman"/>
          <w:kern w:val="0"/>
          <w:sz w:val="24"/>
          <w:szCs w:val="24"/>
        </w:rPr>
        <w:t>statul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în</w:t>
      </w:r>
      <w:proofErr w:type="spellEnd"/>
      <w:r w:rsidRPr="00653202">
        <w:rPr>
          <w:rFonts w:ascii="Times New Roman" w:eastAsia="Times New Roman" w:hAnsi="Times New Roman" w:cs="Times New Roman"/>
          <w:kern w:val="0"/>
          <w:sz w:val="24"/>
          <w:szCs w:val="24"/>
        </w:rPr>
        <w:t xml:space="preserve"> care se </w:t>
      </w:r>
      <w:proofErr w:type="spellStart"/>
      <w:r w:rsidRPr="00653202">
        <w:rPr>
          <w:rFonts w:ascii="Times New Roman" w:eastAsia="Times New Roman" w:hAnsi="Times New Roman" w:cs="Times New Roman"/>
          <w:kern w:val="0"/>
          <w:sz w:val="24"/>
          <w:szCs w:val="24"/>
        </w:rPr>
        <w:t>desfășoară</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activitatea</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rPr>
        <w:t xml:space="preserve">(5) </w:t>
      </w:r>
      <w:proofErr w:type="spellStart"/>
      <w:r w:rsidRPr="00653202">
        <w:rPr>
          <w:rFonts w:ascii="Times New Roman" w:eastAsia="Times New Roman" w:hAnsi="Times New Roman" w:cs="Times New Roman"/>
          <w:kern w:val="0"/>
          <w:sz w:val="24"/>
          <w:szCs w:val="24"/>
        </w:rPr>
        <w:t>Procedurile</w:t>
      </w:r>
      <w:proofErr w:type="spellEnd"/>
      <w:r w:rsidRPr="00653202">
        <w:rPr>
          <w:rFonts w:ascii="Times New Roman" w:eastAsia="Times New Roman" w:hAnsi="Times New Roman" w:cs="Times New Roman"/>
          <w:kern w:val="0"/>
          <w:sz w:val="24"/>
          <w:szCs w:val="24"/>
        </w:rPr>
        <w:t xml:space="preserve"> de </w:t>
      </w:r>
      <w:proofErr w:type="spellStart"/>
      <w:r w:rsidRPr="00653202">
        <w:rPr>
          <w:rFonts w:ascii="Times New Roman" w:eastAsia="Times New Roman" w:hAnsi="Times New Roman" w:cs="Times New Roman"/>
          <w:kern w:val="0"/>
          <w:sz w:val="24"/>
          <w:szCs w:val="24"/>
        </w:rPr>
        <w:t>recrutare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cuprind</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cel</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puțin</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publicarea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postului</w:t>
      </w:r>
      <w:proofErr w:type="spellEnd"/>
      <w:r w:rsidRPr="00653202">
        <w:rPr>
          <w:rFonts w:ascii="Times New Roman" w:eastAsia="Times New Roman" w:hAnsi="Times New Roman" w:cs="Times New Roman"/>
          <w:kern w:val="0"/>
          <w:sz w:val="24"/>
          <w:szCs w:val="24"/>
        </w:rPr>
        <w:t xml:space="preserve"> vacant, </w:t>
      </w:r>
      <w:proofErr w:type="spellStart"/>
      <w:r w:rsidRPr="00653202">
        <w:rPr>
          <w:rFonts w:ascii="Times New Roman" w:eastAsia="Times New Roman" w:hAnsi="Times New Roman" w:cs="Times New Roman"/>
          <w:kern w:val="0"/>
          <w:sz w:val="24"/>
          <w:szCs w:val="24"/>
        </w:rPr>
        <w:t>evaluarea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dosarelor</w:t>
      </w:r>
      <w:proofErr w:type="spellEnd"/>
      <w:r w:rsidRPr="00653202">
        <w:rPr>
          <w:rFonts w:ascii="Times New Roman" w:eastAsia="Times New Roman" w:hAnsi="Times New Roman" w:cs="Times New Roman"/>
          <w:kern w:val="0"/>
          <w:sz w:val="24"/>
          <w:szCs w:val="24"/>
        </w:rPr>
        <w:t xml:space="preserve"> de </w:t>
      </w:r>
      <w:proofErr w:type="spellStart"/>
      <w:r w:rsidRPr="00653202">
        <w:rPr>
          <w:rFonts w:ascii="Times New Roman" w:eastAsia="Times New Roman" w:hAnsi="Times New Roman" w:cs="Times New Roman"/>
          <w:kern w:val="0"/>
          <w:sz w:val="24"/>
          <w:szCs w:val="24"/>
        </w:rPr>
        <w:t>candidatură</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interviu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și</w:t>
      </w:r>
      <w:proofErr w:type="spellEnd"/>
      <w:r w:rsidRPr="00653202">
        <w:rPr>
          <w:rFonts w:ascii="Times New Roman" w:eastAsia="Times New Roman" w:hAnsi="Times New Roman" w:cs="Times New Roman"/>
          <w:kern w:val="0"/>
          <w:sz w:val="24"/>
          <w:szCs w:val="24"/>
        </w:rPr>
        <w:t>/</w:t>
      </w:r>
      <w:proofErr w:type="spellStart"/>
      <w:r w:rsidRPr="00653202">
        <w:rPr>
          <w:rFonts w:ascii="Times New Roman" w:eastAsia="Times New Roman" w:hAnsi="Times New Roman" w:cs="Times New Roman"/>
          <w:kern w:val="0"/>
          <w:sz w:val="24"/>
          <w:szCs w:val="24"/>
        </w:rPr>
        <w:t>sau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probă</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practică</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decizia</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Directorului</w:t>
      </w:r>
      <w:proofErr w:type="spellEnd"/>
      <w:r w:rsidRPr="00653202">
        <w:rPr>
          <w:rFonts w:ascii="Times New Roman" w:eastAsia="Times New Roman" w:hAnsi="Times New Roman" w:cs="Times New Roman"/>
          <w:kern w:val="0"/>
          <w:sz w:val="24"/>
          <w:szCs w:val="24"/>
        </w:rPr>
        <w:t xml:space="preserve">. </w:t>
      </w:r>
      <w:r w:rsidRPr="00653202">
        <w:rPr>
          <w:rFonts w:ascii="Times New Roman" w:eastAsia="Times New Roman" w:hAnsi="Times New Roman" w:cs="Times New Roman"/>
          <w:kern w:val="0"/>
          <w:sz w:val="24"/>
          <w:szCs w:val="24"/>
          <w:lang w:val="it-IT"/>
        </w:rPr>
        <w:t>Dispozițiile detaliate privind procedurile de recrutare, condițiile de angajare, drepturile și obligațiile personalului, statul de funcții și politica salarială sunt stabilite în Titlul VI din Statut.</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(6) Organizarea Secretariatului General este reglementată la art. 27 din Statut, iar organizarea Secretariatelor Naționale la art. 26 din Statut.</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IV</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Adunarea Generală de Constituire și Procedura de aprobare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15 — Adunarea Generală de Constituire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Adunarea Generală de Constituire reunește entitățile care au aderat la inițiativa de constituire a GECT EAST GATE, astfel cum sunt enumerate în Lista participanților consemnată în Procesul-Verbal al Adunării Generale de Constituire.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Participarea la Adunarea Generală de Constituire nu echivalează cu dobândirea calității de membru fondator al GECT. Calitatea de membru fondator se dobândește numai prin îndeplinirea cumulativă a condițiilor prevăzute la art. 16, respectiv aprobarea participării de către organul competent al entității și semnarea Convenției și a Statutului.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Cvorumul Adunării Generale de Constituire este asigurat prin prezența entităților din cel puțin trei dintre cele patru țări, reprezentând cel puțin jumătate din entitățile care și-au exprimat intenția de participare.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Adunarea Generală de Constituire exercită următoarele atribuții: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dezbate, amendează și adoptă prin vot textul final al Convenției și al Statutului;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desemnează, prin vot deschis, persoanele pentru funcțiile de Președinte, Director, membri ai Consiliului de Administrare și membri ai Comisiei de Cenzor, membrii Comitetului de Evaluare și Selecție;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adoptă hotărârile necesare punerii în aplicare a procedurii de constituire, inclusiv mandatul tranzitoriu al Directorului desemnat.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Adoptarea documentelor constitutive și desemnările se consemnează în Procesul-Verbal al Adunării Generale de Constituire, care face parte integrantă din dosarul de constituire.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Adunarea Generală de Constituire stabilește un termen-limită de 3 luni de la data adoptării textului pentru transmiterea hotărârilor organelor competente ale membrilor. Directorul desemnat urmărește colectarea acestor hotărâri.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(7) Entitățile care nu transmit hotărârea de aprobare a organului competent în termenul prevăzut la alin. (6) sunt considerate că au renunțat la calitatea de membru fondator, fără ca aceasta să afecteze constituirea GECT de către celelalte entități.</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16 — Procedura de aprobare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bCs/>
          <w:kern w:val="0"/>
          <w:sz w:val="24"/>
          <w:szCs w:val="24"/>
          <w:lang w:val="it-IT"/>
        </w:rPr>
        <w:t>(1)</w:t>
      </w:r>
      <w:r w:rsidRPr="00653202">
        <w:rPr>
          <w:rFonts w:ascii="Times New Roman" w:eastAsia="Times New Roman" w:hAnsi="Times New Roman" w:cs="Times New Roman"/>
          <w:kern w:val="0"/>
          <w:sz w:val="24"/>
          <w:szCs w:val="24"/>
          <w:lang w:val="it-IT"/>
        </w:rPr>
        <w:t xml:space="preserve"> Constituirea GECT se realizează parcurgând următoarele etape succesive: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Etapa întâi — Adoptarea Proiectului Convenției și al Statutului de către Adunarea Generală de Constituire. Reprezentanții subiecților eligibili participanți la Adunarea Generală de Constituire dezbat, amendează și adoptă prin vot textul Proiectului Convenției și al Statutului.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Etapa doua — Aprobarea participării de către fiecare membru, conform legislației naționale aplicabile:</w:t>
      </w:r>
    </w:p>
    <w:p w:rsidR="00653202" w:rsidRPr="00653202" w:rsidRDefault="00653202" w:rsidP="00653202">
      <w:pPr>
        <w:numPr>
          <w:ilvl w:val="0"/>
          <w:numId w:val="16"/>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Pentru membrii din România — organele competente potrivit legii adoptă actul de aprobare a participării la GECT și mandatarea reprezentantului legal pentru semnarea documentelor constitutive, în conformitate cu Ordonanța de urgență a Guvernului nr. 127/2007, astfel cum a fost modificată prin Ordonanța Guvernului nr. 9/2015;</w:t>
      </w:r>
    </w:p>
    <w:p w:rsidR="00653202" w:rsidRPr="00653202" w:rsidRDefault="00653202" w:rsidP="00653202">
      <w:pPr>
        <w:numPr>
          <w:ilvl w:val="0"/>
          <w:numId w:val="16"/>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 xml:space="preserve">Pentru membrii din Republica Moldova — consiliul local adoptă decizia privind aprobarea participării la GECT, mandatarea reprezentantului legal pentru semnarea documentelor constitutive și identificarea surselor de finanțare pentru obligațiile financiare asumate, în conformitate cu legislația privind participarea Republicii Moldova la GECT. </w:t>
      </w:r>
      <w:r w:rsidRPr="00653202">
        <w:rPr>
          <w:rFonts w:ascii="Times New Roman" w:eastAsia="Times New Roman" w:hAnsi="Times New Roman" w:cs="Times New Roman"/>
          <w:kern w:val="0"/>
          <w:sz w:val="24"/>
          <w:szCs w:val="24"/>
          <w:lang w:val="pt-BR"/>
        </w:rPr>
        <w:t>Pentru instituțiile publice aflate la autogestiune, actul de aprobare este actul administrativ emis de conducătorul autorității;</w:t>
      </w:r>
    </w:p>
    <w:p w:rsidR="00653202" w:rsidRPr="00653202" w:rsidRDefault="00653202" w:rsidP="00653202">
      <w:pPr>
        <w:numPr>
          <w:ilvl w:val="0"/>
          <w:numId w:val="16"/>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membrii din Ucraina — organul deliberativ competent adoptă hotărârea privind aprobarea participării, în conformitate cu legislația ucraineană aplicabilă;</w:t>
      </w:r>
    </w:p>
    <w:p w:rsidR="00653202" w:rsidRPr="00653202" w:rsidRDefault="00653202" w:rsidP="00653202">
      <w:pPr>
        <w:numPr>
          <w:ilvl w:val="0"/>
          <w:numId w:val="16"/>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membrii din Bulgaria — consiliul municipal (obștinski săvet) adoptă hotărârea privind aprobarea participării, în conformitate cu legislația bulgară aplicabilă;</w:t>
      </w:r>
    </w:p>
    <w:p w:rsidR="00653202" w:rsidRPr="00653202" w:rsidRDefault="00653202" w:rsidP="00653202">
      <w:pPr>
        <w:numPr>
          <w:ilvl w:val="0"/>
          <w:numId w:val="16"/>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membrii care sunt asociații de dezvoltare intercomunitară, zone metropolitane, grupuri de acțiune locală, euroregiuni, universități sau alte organisme de drept public — organul de conducere competent adoptă actul de aprobare, conform actelor constitutive și statutelor proprii.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Etapa treia — După obținerea actelor de aprobare prevăzute la Etapa II, reprezentanții legali ai membrilor semnează proiectul Convenției și Statutul. Semnarea se poate realiza într-o ceremonie colectivă sau prin circulație de exemplare.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Etapa patru — Depunerea documentației și obținerea aprobărilor autorităților naționale competente:</w:t>
      </w:r>
    </w:p>
    <w:p w:rsidR="00653202" w:rsidRPr="00653202" w:rsidRDefault="00653202" w:rsidP="00653202">
      <w:pPr>
        <w:numPr>
          <w:ilvl w:val="0"/>
          <w:numId w:val="17"/>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membrii din România — documentele constitutive semnate, însoțite de actele de aprobare emise de organele competente potrivit legii, se transmit autorității de notificare desemnate conform OUG nr. 127/2007 (Ministerul Dezvoltării, Lucrărilor Publice și Administrației). Autoritatea de notificare verifică conformitatea documentației cu prevederile Regulamentului și ale legislației naționale, solicită avizele consultative ale autorităților administrației publice centrale competente și comunică observațiile în termen de 30 de zile lucrătoare de la primirea cererii. Autoritatea de notificare decide asupra aprobării convenției și a participării membrilor români, în termen de 6 luni de la data primirii documentației complete, în conformitate cu prevederile art. 7 din OUG nr. 127/2007;</w:t>
      </w:r>
    </w:p>
    <w:p w:rsidR="00653202" w:rsidRPr="00653202" w:rsidRDefault="00653202" w:rsidP="00653202">
      <w:pPr>
        <w:numPr>
          <w:ilvl w:val="0"/>
          <w:numId w:val="17"/>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membrii din Republica Moldova — fiecare membru depune la Cancelaria de Stat cererea de obținere a consimțământului Guvernului, însoțită de decizia consiliului local sau actul de aprobare al organului competent, după caz, și de proiectele documentelor constitutive ale GECT. Guvernul își exprimă consimțământul sau îl refuză motivat, în termen de 60 de zile, în conformitate cu legislația privind participarea Republicii Moldova la GECT;</w:t>
      </w:r>
    </w:p>
    <w:p w:rsidR="00653202" w:rsidRPr="00653202" w:rsidRDefault="00653202" w:rsidP="00653202">
      <w:pPr>
        <w:numPr>
          <w:ilvl w:val="0"/>
          <w:numId w:val="17"/>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lastRenderedPageBreak/>
        <w:t>Pentru membrii din Bulgaria — documentele se transmit autorității naționale desemnate de Guvernul Bulgariei, care decide în conformitate cu legislația bulgară;</w:t>
      </w:r>
    </w:p>
    <w:p w:rsidR="00653202" w:rsidRPr="00653202" w:rsidRDefault="00653202" w:rsidP="00653202">
      <w:pPr>
        <w:numPr>
          <w:ilvl w:val="0"/>
          <w:numId w:val="17"/>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Pentru membrii din Ucraina — fiecare membru obține aprobarea prealabilă de participare de la autoritatea desemnată de Cabinetul de Miniștri al Ucrainei, în conformitate cu Legea nr. 3668-IX/2024 privind cooperarea teritorială internațională a Ucrainei și cu legislația subsecventă adoptată de Cabinetul de Miniștri;</w:t>
      </w:r>
    </w:p>
    <w:p w:rsidR="00653202" w:rsidRPr="00653202" w:rsidRDefault="00653202" w:rsidP="00653202">
      <w:pPr>
        <w:numPr>
          <w:ilvl w:val="0"/>
          <w:numId w:val="17"/>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Participarea membrilor din Republica Moldova și Ucraina, în calitate de entități din state terțe, se realizează în conformitate cu prevederile art. 2 alin. (4) din OUG nr. 127/2007, cu condiția ca statul terț respectiv să fi aprobat participarea conform procedurilor echivalente celor prevăzute în Regulament sau între România și statul terț respectiv să existe un acord de cooperare, în conformitate cu prevederile art. 3a din Regulamentul (CE) nr. 1082/2006.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Etapa cincea — În cazul în care autoritățile naționale competente transmit observații privind documentele constitutive, membrii analizează și preiau observațiile în textul Convenției și al Statutului. Membrii aprobă în unanimitate documentele constitutive modificate conform observațiilor, în conformitate cu prevederile art. 8 alin. (1) din OUG nr. 127/2007.</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Etapa șasea — După aprobarea prevăzută la Etapa cinci, membrii transmit autorității de notificare din România cererea de eliberare a autorizației de funcționare, însoțită de documentele constitutive în forma finală, de actele de aprobare ale membrilor români și de aprobările echivalente emise pentru membrii din celelalte state. Autoritatea de notificare verifică îndeplinirea condițiilor prevăzute de Regulament și decide asupra autorizării funcționării GECT în termen de 30 de zile calendaristice, în conformitate cu art. 9 din OUG nr. 127/2007.</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Etapa șaptea — Constituirea în fața instanței judecătorești și dobândirea personalității juridice. În termen de 5 zile lucrătoare de la comunicarea autorizației de funcționare, reprezentanții GECT înaintează judecătoriei în a cărei circumscripție teritorială se află sediul GECT cererea de constituire, însoțită de autorizația de funcționare și de documentele constitutive. Instanța verifică legalitatea și dispune, prin încheiere, asupra constituirii GECT, în termen de 10 zile lucrătoare. GECT dobândește personalitate juridică de la data înscrierii în Registrul GECT, efectuată de autoritatea de notificare în termen de 24 de ore de la primirea încheierii de admitere. După înscriere, GECT transmite un anunț de constituire spre publicare în Monitorul Oficial al României, Partea a IV-a, și informează statele membre în cauză și Comitetul Regiunilor, în conformitate cu art. 10 din OUG nr. 127/2007.</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 xml:space="preserve">(2) Adunarea Generală de Constituire stabilește un termen-limită de 9 luni de la data adoptării textului pentru finalizarea procedurii de colectare a actelor de aprobare ale membrilor și a aprobărilor autorităților naționale. </w:t>
      </w:r>
      <w:r w:rsidRPr="00653202">
        <w:rPr>
          <w:rFonts w:ascii="Times New Roman" w:eastAsia="Times New Roman" w:hAnsi="Times New Roman" w:cs="Times New Roman"/>
          <w:kern w:val="0"/>
          <w:sz w:val="24"/>
          <w:szCs w:val="24"/>
          <w:lang w:val="pt-BR"/>
        </w:rPr>
        <w:t>Directorul ales coordonează colectarea acestor documente.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Membrii care nu transmit actul de aprobare în termenul prevăzut la alin. (2) sunt considerați că au renunțat la calitatea de membru fondator, fără ca aceasta să afecteze constituirea GECT de către ceilalți membri.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pt-BR"/>
        </w:rPr>
        <w:t xml:space="preserve">(4) </w:t>
      </w:r>
      <w:r w:rsidRPr="00653202">
        <w:rPr>
          <w:rFonts w:ascii="Times New Roman" w:eastAsia="Times New Roman" w:hAnsi="Times New Roman" w:cs="Times New Roman"/>
          <w:kern w:val="0"/>
          <w:sz w:val="24"/>
          <w:szCs w:val="24"/>
          <w:lang w:val="it-IT"/>
        </w:rPr>
        <w:t>Dacă, în urma observațiilor formulate de autoritățile naționale competente sau de MDLPA, se impune modificarea Convenției sau a Statutului, Directorul convoacă o nouă Adunare Generală pentru adoptarea documentelor constitutive modificate, în condițiile art. 18 alin. (1) din prezenta Convenție. Membrii aprobă documentele constitutive modificate în unanimitate.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17 — Intrarea în vigoare și publicitatea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(1) Prezenta Convenție și Statutul anexat intră în vigoare la data la care GECT dobândește personalitate juridică în România, respectiv la data înscrierii în Registrul GECT, efectuată de autoritatea de notificare în conformitate cu prevederile art. 10 din OUG nr. 127/2007.</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(2) Directorul GECT asigură, în termen de zece zile lucrătoare de la intrarea în vigoare, transmiterea unei cereri de înregistrare către Comitetul Regiunilor al Uniunii Europene, în conformitate cu modelul prevăzut în Anexa la Regulamentul (CE) nr. 1082/2006.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Directorul GECT informează Oficiul pentru Publicații al Uniunii Europene în vederea publicării avizului în Jurnalul Oficial al Uniunii Europene, seria C.</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V</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Modificarea Convenției și Dispoziții Finale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18 — Modificarea Convenției</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(1) Modificarea prezentei Convenții se adoptă de către Adunarea Generală a GECT cu unanimitatea tuturor membrilor GECT.</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(2) Votul de aprobare a modificării poate fi exprimat prin prezența la ședința Adunării Generale, prin mandat scris sau prin procedură de consultare scrisă. Directorul organizează procedura astfel încât fiecare membru să aibă posibilitatea de a-și exprima votul.</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(3) Modificările intră în vigoare numai după parcurgerea integrală a procedurii de notificare și aprobare prevăzute la art. 16, inclusiv re-aprobarea de către autoritățile naționale ale tuturor statelor implicate. Procedurile de modificare respectă obligațiile prevăzute la art. 4 și 5 din Regulamentul (CE) nr. 1082/2006.</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(4) Prin derogare de la prevederile art. 13 alin. (4) din Statut, dispozițiile privind cvorumul la a doua convocare nu se aplică hotărârilor de modificare a Convenției.</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19 — Dispoziții finale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Prezenta Convenție este redactată într-un singur exemplar original, în limba română, care va fi păstrat la sediul GECT EAST GATE.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Se vor elabora copii conforme cu originalul în limbile bulgară, ucraineană și engleză.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Anexa nr. 1 (Lista Membrilor Fondatori) și Anexa nr. 2 (Statutul GECT EAST GATE) fac parte integrantă din prezenta Convenție.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Prezenta Convenție este semnată de reprezentanții legali ai tuturor Membrilor Fondatori prevăzuți în Anexa nr. 1, în baza hotărârilor organelor competente ale fiecărui membru, adoptate în conformitate cu procedura prevăzută la art. 16.</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i/>
          <w:kern w:val="0"/>
          <w:sz w:val="24"/>
          <w:szCs w:val="24"/>
          <w:lang w:val="it-IT"/>
        </w:rPr>
        <w:t>Textul Convenției adoptat la București, Palatul Parlamentului României, la data de 19 martie 2026.</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i/>
          <w:kern w:val="0"/>
          <w:sz w:val="20"/>
          <w:szCs w:val="24"/>
          <w:lang w:val="it-IT"/>
        </w:rPr>
        <w:t>[Semnarea Convenției se efectuează de reprezentanții legali ai Membrilor Fondatori</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i/>
          <w:kern w:val="0"/>
          <w:sz w:val="20"/>
          <w:szCs w:val="24"/>
          <w:lang w:val="it-IT"/>
        </w:rPr>
        <w:t>după obținerea hotărârilor organelor competente — conform art. 16  și Anexei nr. 1]</w:t>
      </w:r>
      <w:r w:rsidRPr="00653202">
        <w:rPr>
          <w:rFonts w:ascii="Times New Roman" w:eastAsia="Times New Roman" w:hAnsi="Times New Roman" w:cs="Times New Roman"/>
          <w:kern w:val="0"/>
          <w:sz w:val="24"/>
          <w:szCs w:val="24"/>
          <w:lang w:val="it-IT"/>
        </w:rPr>
        <w:br w:type="page"/>
      </w:r>
    </w:p>
    <w:p w:rsidR="00653202" w:rsidRPr="00653202" w:rsidRDefault="00653202" w:rsidP="00653202">
      <w:pPr>
        <w:spacing w:before="120"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32"/>
          <w:szCs w:val="24"/>
          <w:lang w:val="it-IT"/>
        </w:rPr>
        <w:lastRenderedPageBreak/>
        <w:t>PARTEA A DOUA</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32"/>
          <w:szCs w:val="24"/>
          <w:lang w:val="it-IT"/>
        </w:rPr>
        <w:t>STATUTUL</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Grupării Europene de Cooperare Teritorială</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"EAST GATE"</w:t>
      </w:r>
    </w:p>
    <w:p w:rsidR="00653202" w:rsidRPr="00653202" w:rsidRDefault="00653202" w:rsidP="00653202">
      <w:pPr>
        <w:spacing w:after="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4"/>
          <w:szCs w:val="24"/>
          <w:lang w:val="it-IT"/>
        </w:rPr>
        <w:t xml:space="preserve">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i/>
          <w:kern w:val="0"/>
          <w:sz w:val="24"/>
          <w:szCs w:val="24"/>
          <w:lang w:val="it-IT"/>
        </w:rPr>
        <w:t>Adoptat la Adunarea Generală de Constituire din 19 martie 2026</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i/>
          <w:kern w:val="0"/>
          <w:sz w:val="24"/>
          <w:szCs w:val="24"/>
          <w:lang w:val="it-IT"/>
        </w:rPr>
        <w:t>Palatul Parlamentului României, București</w:t>
      </w:r>
    </w:p>
    <w:p w:rsidR="00653202" w:rsidRPr="00653202" w:rsidRDefault="00653202" w:rsidP="00653202">
      <w:pPr>
        <w:spacing w:before="280" w:after="12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TITLUL I — DISPOZIȚII GENERALE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I</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 xml:space="preserve"> Denumirea, Sediul și Aria de Intervenție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 — Denumirea, forma juridică și sigla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Gruparea Europeană de Cooperare Teritorială "EAST GATE" (în continuare "GECT") este constituită în temeiul Regulamentului (CE) nr. 1082/2006, modificat prin Regulamentul (UE) nr. 1302/2013, și în conformitate cu legislația națională a României.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(2) GECT EAST GATE este o persoană juridică de drept public, nonprofit, de interes public, distinctă de membrii săi, care acționează în conformitate cu obiectivele și principiile stabilite prin prezentul Statut și prin Convenție.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GECT EAST GATE are o siglă proprie care simbolizează cooperarea teritorială dintre membrii din cele patru state fondatoare.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Sigla, paleta de culori oficiale, fontul oficial și elementele de identitate vizuală ale GECT EAST GATE se aprobă de Consiliul de Administrare, prin hotărâre, în termen de 90 (nouăzeci) de zile de la data dobândirii personalității juridice a Grupării.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Utilizarea siglei și a elementelor de identitate vizuală de către membri, parteneri și terți se reglementează printr-un Ghid de identitate vizuală, aprobat de Biroul Executiv în termen de 30 (treizeci) de zile de la aprobarea siglei.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Până la aprobarea siglei în condițiile alin. (3), GECT EAST GATE utilizează în corespondența și documentele oficiale denumirea completă și acronimul GECT EAST GATE.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2 — Sediul și birourile operaționale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Sediul GECT este în România, la adresa: [adresa completă].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GECT poate înființa birouri operaționale în Republica Moldova, Ucraina și Bulgaria, prin hotărârea Consiliului de Administrare.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 — Aria de intervenție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Aria de intervenție a GECT cuprinde teritoriul unităților administrativ-teritoriale membre, astfel cum sunt enumerate în Anexa nr. 1. În cazul membrilor care sunt forme asociative cu personalitate juridică (asociații de dezvoltare intercomunitară, zone metropolitane, grupuri de acțiune locală, euroregiuni și altele similare), aria de intervenție a GECT se extinde și asupra teritoriului unităților administrativ-teritoriale componente ale acestor organizații, conform actelor lor constitutive.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4 — Limbile oficiale și de lucru</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(1) Limbile oficiale ale GECT sunt: română, ucraineană și bulgară, conform art. 11 din Convenție.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Limbile de lucru ale GECT sunt română și engleză.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Documentele esențiale (Statutul, bugetul, rapoartele anuale, hotărârile Adunării Generale și ale Consiliului de Administrare) se traduc în toate limbile oficiale. Documentele operaționale curente se redactează în limbile de lucru.</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În caz de divergență de interpretare între versiunile lingvistice, textul în limba română (limba statului de sediu) prevalează.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TITLUL II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MEMBRII GECT</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Capitolul II </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Calitatea de Membru</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5 — Categorii de membri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GECT este deschisă participării tuturor categoriilor de entități eligibile din statele prevăzute în Convenție, în conformitate cu prevederile art. 3 alin. (1) din Regulamentul (CE) nr. 1082/2006.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Membrii sunt organizați în patru Colegii Naționale reprezentative: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Colegiul Național România;</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Colegiul Național Republica Moldova;</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Colegiul Național Ucraina;</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Colegiul Național Bulgaria.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Numărul total de membri ai GECT la constituire este de ______. Lista nominală a membrilor fondatori este prevăzută în Anexa nr. 1.</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6 — Dobândirea calității de membru</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Calitatea de membru fondator se dobândește prin aprobarea participării de către organul competent al membrului și prin semnarea Convenției și a prezentului Statut, în conformitate cu procedura prevăzută la art. 16 din Convenție.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Ulterior constituirii, orice autoritate publică, instituție publică, universitate sau alt organism de drept public eligibil din aria de intervenție poate solicita aderarea la GECT prin depunerea unei cereri scrise la Secretariatul General, însoțită de:</w:t>
      </w:r>
    </w:p>
    <w:p w:rsidR="00653202" w:rsidRPr="00653202" w:rsidRDefault="00653202" w:rsidP="00653202">
      <w:pPr>
        <w:numPr>
          <w:ilvl w:val="0"/>
          <w:numId w:val="18"/>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Hotărârea organului competent privind aderarea;</w:t>
      </w:r>
    </w:p>
    <w:p w:rsidR="00653202" w:rsidRPr="00653202" w:rsidRDefault="00653202" w:rsidP="00653202">
      <w:pPr>
        <w:numPr>
          <w:ilvl w:val="0"/>
          <w:numId w:val="18"/>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Aprobarea autorității naționale competente, în conformitate cu legislația țării de proveniență;</w:t>
      </w:r>
    </w:p>
    <w:p w:rsidR="00653202" w:rsidRPr="00653202" w:rsidRDefault="00653202" w:rsidP="00653202">
      <w:pPr>
        <w:numPr>
          <w:ilvl w:val="0"/>
          <w:numId w:val="18"/>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Angajamentul de a respecta Convenția, Statutul și de a plăti contribuția financiară.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Cererea de aderare este examinată de Colegiul Național corespunzător, care emite un aviz consultativ, și se aprobă de Adunarea Generală, în conformitate cu prevederile art. 4 alin. (6) din Regulamentul (CE) nr. 1082/2006. Aderarea produce efecte după parcurgerea procedurii de notificare și aprobare prevăzute de Regulament.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7 — Drepturile și obligațiile membrilor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Fiecare membru are dreptul:</w:t>
      </w:r>
    </w:p>
    <w:p w:rsidR="00653202" w:rsidRPr="00653202" w:rsidRDefault="00653202" w:rsidP="00653202">
      <w:pPr>
        <w:numPr>
          <w:ilvl w:val="0"/>
          <w:numId w:val="19"/>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Să fie reprezentat în Adunarea Generală;</w:t>
      </w:r>
    </w:p>
    <w:p w:rsidR="00653202" w:rsidRPr="00653202" w:rsidRDefault="00653202" w:rsidP="00653202">
      <w:pPr>
        <w:numPr>
          <w:ilvl w:val="0"/>
          <w:numId w:val="19"/>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 participe la procesul decizional, să aleagă și să fie ales în organele de conducere;</w:t>
      </w:r>
    </w:p>
    <w:p w:rsidR="00653202" w:rsidRPr="00653202" w:rsidRDefault="00653202" w:rsidP="00653202">
      <w:pPr>
        <w:numPr>
          <w:ilvl w:val="0"/>
          <w:numId w:val="19"/>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Să beneficieze de programele și proiectele derulate de GECT;</w:t>
      </w:r>
    </w:p>
    <w:p w:rsidR="00653202" w:rsidRPr="00653202" w:rsidRDefault="00653202" w:rsidP="00653202">
      <w:pPr>
        <w:numPr>
          <w:ilvl w:val="0"/>
          <w:numId w:val="19"/>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 fie informat cu privire la activitățile și situația financiară a GECT;</w:t>
      </w:r>
    </w:p>
    <w:p w:rsidR="00653202" w:rsidRPr="00653202" w:rsidRDefault="00653202" w:rsidP="00653202">
      <w:pPr>
        <w:numPr>
          <w:ilvl w:val="0"/>
          <w:numId w:val="19"/>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 se retragă din GECT în condițiile prezentului Statut.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Fiecare membru are obligația:</w:t>
      </w:r>
    </w:p>
    <w:p w:rsidR="00653202" w:rsidRPr="00653202" w:rsidRDefault="00653202" w:rsidP="00653202">
      <w:pPr>
        <w:numPr>
          <w:ilvl w:val="0"/>
          <w:numId w:val="20"/>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 respecte Convenția, Statutul și hotărârile organelor de conducere;</w:t>
      </w:r>
    </w:p>
    <w:p w:rsidR="00653202" w:rsidRPr="00653202" w:rsidRDefault="00653202" w:rsidP="00653202">
      <w:pPr>
        <w:numPr>
          <w:ilvl w:val="0"/>
          <w:numId w:val="20"/>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 achite contribuția financiară anuală în termenul stabilit;</w:t>
      </w:r>
    </w:p>
    <w:p w:rsidR="00653202" w:rsidRPr="00653202" w:rsidRDefault="00653202" w:rsidP="00653202">
      <w:pPr>
        <w:numPr>
          <w:ilvl w:val="0"/>
          <w:numId w:val="20"/>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 desemneze un reprezentant permanent și un supleant pentru Adunarea Generală;</w:t>
      </w:r>
    </w:p>
    <w:p w:rsidR="00653202" w:rsidRPr="00653202" w:rsidRDefault="00653202" w:rsidP="00653202">
      <w:pPr>
        <w:numPr>
          <w:ilvl w:val="0"/>
          <w:numId w:val="20"/>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Să coopereze cu bună-credință la realizarea obiectivelor GECT.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8 — Retragerea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Orice membru se poate retrage din GECT prin notificarea scrisă adresată Președintelui GECT, cu un preaviz de 6 luni.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Membrul care se retrage este obligat să-și onoreze toate obligațiile financiare restante, inclusiv contribuția pentru anul în curs.</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Retragerea nu exonerează membrul de obligațiile asumate anterior, legate de proiectele în curs de implementare.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Retragerea produce efecte la expirarea perioadei de preaviz. Consiliul de Administrare ia act de retragere și actualizează Anexa nr. 1.</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9 — Excluderea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Un membru poate fi exclus din GECT în următoarele cazuri:</w:t>
      </w:r>
    </w:p>
    <w:p w:rsidR="00653202" w:rsidRPr="00653202" w:rsidRDefault="00653202" w:rsidP="00653202">
      <w:pPr>
        <w:numPr>
          <w:ilvl w:val="0"/>
          <w:numId w:val="21"/>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Neachitarea contribuției financiare pe o perioadă mai mare de 24 de luni consecutive, după cel puțin două somații scrise;</w:t>
      </w:r>
    </w:p>
    <w:p w:rsidR="00653202" w:rsidRPr="00653202" w:rsidRDefault="00653202" w:rsidP="00653202">
      <w:pPr>
        <w:numPr>
          <w:ilvl w:val="0"/>
          <w:numId w:val="21"/>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Acțiuni sau omisiuni care prejudiciază grav interesele GECT sau contravin obiectivelor Convenției;</w:t>
      </w:r>
    </w:p>
    <w:p w:rsidR="00653202" w:rsidRPr="00653202" w:rsidRDefault="00653202" w:rsidP="00653202">
      <w:pPr>
        <w:numPr>
          <w:ilvl w:val="0"/>
          <w:numId w:val="21"/>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Pierderea capacității juridice sau a calității de entitate eligibilă.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Excluderea se decide de Adunarea Generală cu majoritate de două treimi a membrilor prezenți sau reprezentați, după audierea membrului în cauză sau după cel puțin două invitații scrise de a se prezenta.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Hotărârea de excludere poate fi contestată la instanța competentă de la sediul GECT, în termen de 30 de zile de la comunicare.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10 — Reorganizarea administrativ-teritorială și succesiunea calității de membru</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În cazul în care o unitate administrativ-teritorială membră a GECT este reorganizată prin comasare, fuziune, divizare, transformare sau orice altă formă de reorganizare administrativ-teritorială prevăzută de legislația națională, calitatea de membru se transmite de drept entității sau entităților succesoare, fără a fi necesară parcurgerea procedurii de aderare prevăzute la art. 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În cazul comasării sau fuziunii a două sau mai multe unități administrativ-teritoriale, dintre care cel puțin una este membră a GECT, entitatea rezultată din reorganizare preia calitatea de membru și exercită toate drepturile și obligațiile aferente.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În cazul divizării unei unități administrativ-teritoriale membre, toate entitățile rezultate din divizare dobândesc calitatea de membru.</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(4) Dispozițiile alin. (1)–(3) se aplică în mod corespunzător instituțiilor publice, universităților, formelor asociative și celorlalte entități membre ale GECT care se reorganizează în conformitate cu legislația națională aplicabilă.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 xml:space="preserve">(5) Entitatea succesoare notifică Directorul GECT în termen de 60 de zile de la data reorganizării, transmițând actul juridic care atestă reorganizarea, succesiunea și acordul privind acceptarea calității de membru. </w:t>
      </w:r>
      <w:r w:rsidRPr="00653202">
        <w:rPr>
          <w:rFonts w:ascii="Times New Roman" w:eastAsia="Times New Roman" w:hAnsi="Times New Roman" w:cs="Times New Roman"/>
          <w:kern w:val="0"/>
          <w:sz w:val="24"/>
          <w:szCs w:val="24"/>
          <w:lang w:val="pt-BR"/>
        </w:rPr>
        <w:t>Directorul actualizează Anexa nr. 1 și informează Consiliul de Administrare la următoarea ședință.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(6) Reorganizarea administrativ-teritorială a unui membru nu afectează validitatea Convenției și a Statutului și nu constituie motiv de dizolvare a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TITLUL III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ORGANELE DE CONDUCERE ALE GECT</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III</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Dispoziții Generale privind Organele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11 — Structura organizatorică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În conformitate cu prevederile art. 10 din Regulamentul (CE) nr. 1082/2006, organele GECT EAST GATE sunt:</w:t>
      </w:r>
    </w:p>
    <w:p w:rsidR="00653202" w:rsidRPr="00653202" w:rsidRDefault="00653202" w:rsidP="00653202">
      <w:pPr>
        <w:numPr>
          <w:ilvl w:val="0"/>
          <w:numId w:val="2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Adunarea Generală — organul suprem de conducere;</w:t>
      </w:r>
    </w:p>
    <w:p w:rsidR="00653202" w:rsidRPr="00653202" w:rsidRDefault="00653202" w:rsidP="00653202">
      <w:pPr>
        <w:numPr>
          <w:ilvl w:val="0"/>
          <w:numId w:val="22"/>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Consiliul de Administrare — organul de guvernanță strategică;</w:t>
      </w:r>
    </w:p>
    <w:p w:rsidR="00653202" w:rsidRPr="00653202" w:rsidRDefault="00653202" w:rsidP="00653202">
      <w:pPr>
        <w:numPr>
          <w:ilvl w:val="0"/>
          <w:numId w:val="2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Biroul Executiv — organul de conducere operativă curentă;</w:t>
      </w:r>
    </w:p>
    <w:p w:rsidR="00653202" w:rsidRPr="00653202" w:rsidRDefault="00653202" w:rsidP="00653202">
      <w:pPr>
        <w:numPr>
          <w:ilvl w:val="0"/>
          <w:numId w:val="22"/>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Directorul — reprezentantul legal și managerul operațional;</w:t>
      </w:r>
    </w:p>
    <w:p w:rsidR="00653202" w:rsidRPr="00653202" w:rsidRDefault="00653202" w:rsidP="00653202">
      <w:pPr>
        <w:numPr>
          <w:ilvl w:val="0"/>
          <w:numId w:val="22"/>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Președintele și Vicepreședinții — conducerea politică și de reprezentare.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Pe lângă organele prevăzute la alin. (1), funcționează:</w:t>
      </w:r>
    </w:p>
    <w:p w:rsidR="00653202" w:rsidRPr="00653202" w:rsidRDefault="00653202" w:rsidP="00653202">
      <w:pPr>
        <w:numPr>
          <w:ilvl w:val="0"/>
          <w:numId w:val="2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Colegiile Naționale (România, Republica Moldova, Ucraina, Bulgaria);</w:t>
      </w:r>
    </w:p>
    <w:p w:rsidR="00653202" w:rsidRPr="00653202" w:rsidRDefault="00653202" w:rsidP="00653202">
      <w:pPr>
        <w:numPr>
          <w:ilvl w:val="0"/>
          <w:numId w:val="2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Secretariatele Naționale (câte unul în fiecare țară membră);</w:t>
      </w:r>
    </w:p>
    <w:p w:rsidR="00653202" w:rsidRPr="00653202" w:rsidRDefault="00653202" w:rsidP="00653202">
      <w:pPr>
        <w:numPr>
          <w:ilvl w:val="0"/>
          <w:numId w:val="23"/>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Comisia de Cenzori;</w:t>
      </w:r>
    </w:p>
    <w:p w:rsidR="00653202" w:rsidRPr="00653202" w:rsidRDefault="00653202" w:rsidP="00653202">
      <w:pPr>
        <w:numPr>
          <w:ilvl w:val="0"/>
          <w:numId w:val="23"/>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Comisii de specialitate, constituite de Consiliul de Administrare</w:t>
      </w:r>
    </w:p>
    <w:p w:rsidR="00653202" w:rsidRPr="00653202" w:rsidRDefault="00653202" w:rsidP="00653202">
      <w:pPr>
        <w:numPr>
          <w:ilvl w:val="0"/>
          <w:numId w:val="23"/>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Comitetul de Evaluare și Selecție.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IV</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Adunarea Generală</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12 — Componența Adunării Generale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Adunarea Generală este organul suprem de conducere al GECT, compusă din reprezentanții tuturor membrilor.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 xml:space="preserve">(2) Fiecare membru desemnează un reprezentant permanent și un supleant. </w:t>
      </w:r>
      <w:r w:rsidRPr="00653202">
        <w:rPr>
          <w:rFonts w:ascii="Times New Roman" w:eastAsia="Times New Roman" w:hAnsi="Times New Roman" w:cs="Times New Roman"/>
          <w:kern w:val="0"/>
          <w:sz w:val="24"/>
          <w:szCs w:val="24"/>
          <w:lang w:val="pt-BR"/>
        </w:rPr>
        <w:t>Reprezentantul permanent este, de regulă, autoritatea executivă a administrației publice locale, conducătorul instituției/organizației publice sau o persoană desemnată prin hotărâre a organului competent.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Fiecare membru dispune de un vot în Adunarea Generală.</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13 — Convocarea și cvorumul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Adunarea Generală se întrunește în ședință ordinară o dată pe an. Ședințele extraordinare pot fi convocate de:</w:t>
      </w:r>
    </w:p>
    <w:p w:rsidR="00653202" w:rsidRPr="00653202" w:rsidRDefault="00653202" w:rsidP="00653202">
      <w:pPr>
        <w:numPr>
          <w:ilvl w:val="0"/>
          <w:numId w:val="2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Președintele GECT;</w:t>
      </w:r>
    </w:p>
    <w:p w:rsidR="00653202" w:rsidRPr="00653202" w:rsidRDefault="00653202" w:rsidP="00653202">
      <w:pPr>
        <w:numPr>
          <w:ilvl w:val="0"/>
          <w:numId w:val="2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Consiliul de Administrare;</w:t>
      </w:r>
    </w:p>
    <w:p w:rsidR="00653202" w:rsidRPr="00653202" w:rsidRDefault="00653202" w:rsidP="00653202">
      <w:pPr>
        <w:numPr>
          <w:ilvl w:val="0"/>
          <w:numId w:val="24"/>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Cel puțin o treime din membrii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Convocarea se transmite tuturor membrilor cu cel puțin 30 de zile calendaristice înainte de data ședinței, incluzând proiectul ordinii de zi, proiectele de hotărâri și documentele de referință.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Cvorumul la prima convocare: prezența sau reprezentarea prin mandat scris a cel puțin două treimi din totalul membrilor GECT, cu condiția ca membrii prezenți sau reprezentați să provină din cel puțin trei dintre cele patru țări.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În absența cvorumului la prima convocare, o a doua convocare are loc în termen de 15–30 de zile. La a doua convocare, cvorumul este de majoritate absolută din totalul membrilor GECT, cu condiția ca cel puțin două țări să fie reprezentate.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Prin derogare de la prevederile alin. (4), dispozițiile privind cvorumul la a doua convocare nu se aplică hotărârilor care, potrivit prezentului Statut sau Convenției, necesită unanimitatea tuturor membrilor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Votul prin procură (mandat scris) este permis. Un reprezentant poate deține cel mult trei mandate de la alți membri, pe lângă propriul vot.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(7) Adunarea Generală se poate desfășura și în format hibrid (fizic și online simultan).</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14 — Atribuțiile Adunării Generale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Adunarea Generală are următoarele atribuții exclusive: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Adoptă și modifică Convenția și Statutul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Aprobă bugetul anual și conturile anuale ale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Aprobă strategia multianuală și planurile de acțiune;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Alege și revocă Președintele, membrii Consiliului de Administrare și membrii Comisiei de Cenzori;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 Alege și revocă Directorul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 Aprobă aderarea și decide excluderea membrilor, în condițiile prezentului Statut;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g) Stabilește nivelul contribuțiilor financiare anuale ale membrilor;</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h) Aprobă conturile anuale auditate și raportul auditorului extern independent;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 Decide dizolvarea GECT și numește lichidatorii;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j) Decide asupra oricărei alte chestiuni care nu este atribuită în mod expres unui alt organ.</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Adunarea Generală poate delega Consiliului de Administrare, prin hotărâre, exercitarea temporară a unor atribuții. Hotărârea de delegare precizează obiectul, limitele și durata delegării. Adunarea Generală poate revoca delegarea în orice moment.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15 — Reguli de vot în Adunarea Generală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Hotărârile ordinare se adoptă cu majoritate simplă a voturilor membrilor prezenți sau reprezentați prin mandat.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Hotărârile privind modificarea Convenției se adoptă cu unanimitatea tuturor membrilor GECT. Votul poate fi exprimat prin prezență la ședință, mandat scris sau procedură de consultare scrisă organizată de Director.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Hotărârile privind modificarea Statutului, dizolvarea GECT, excluderea unui membru sau modificarea nivelului contribuțiilor financiare se adoptă cu majoritate de două treimi a membrilor prezenți sau reprezentați.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Clauza de protecție națională: orice hotărâre care afectează în mod disproporționat membrii dintr-o singură țară necesită și votul favorabil al majorității membrilor din Colegiul Național al țării respective.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(5) Toate hotărârile Adunării Generale se adoptă prin vot deschis, prin apel nominal sau prin vot electronic cu identificare.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Desemnarea sau alegerea Președintelui, Directorului, membrilor Consiliului de Administrare și ai Comisiei de Cenzori se face prin vot deschis, cu majoritatea prevăzută de prezentul Statut pentru fiecare funcție. Vicepreședinții sunt aleși de Consiliul de Administrare conform art. 22.</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(7) Revocarea persoanelor alese se decide de Adunarea Generală prin vot deschis, după cum urmează: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revocarea Președintelui — cu majoritate de cel puțin două treimi a membrilor sau reprezentați, la propunerea a cel puțin unei treimi din membrii GECT sau a Consiliului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revocarea Directorului — cu majoritate de cel puțin două treimi a membrilor sau reprezentați, la propunerea Consiliului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revocarea individuală a unui membru al Consiliului de Administrare — cu majoritate simplă a membrilor prezenți sau reprezentați, la propunerea Colegiului Național al țării din care provine membrul respectiv;</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revocarea unui membru al Comisiei de Cenzori — cu majoritate simplă a membrilor prezenți sau reprezentați, la propunerea Consiliului de Administrare sau a Comisiei de Cenzori.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(8) Propunerea de revocare se comunică persoanei vizate cu cel puțin 30 zile înainte de ședința Adunării Generale. Persoana vizată are dreptul de a fi audiată de Adunarea Generală înainte de vot.</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Capitolul V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Consiliul de Administrare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16— Componența Consiliului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Consiliul de Administrare este organul de guvernanță strategică al GECT, ales de Adunarea Generală pentru un mandat de 4 ani.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pt-BR"/>
        </w:rPr>
        <w:t>(2) Consiliul de Administrare este compus din 111 membri, conform reprezentării proporționale a membrilor fondatori din cele patru state.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Membrii Consiliului sunt aleși de Adunarea Generală pe baza propunerilor formulate de Colegiile Naționale. Propunerile asigură o reprezentare echilibrată a autorităților de nivelul I și nivelul 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Președintele și Vicepreședinții GECT sunt membri de drept ai Consiliului de Administrare, fără a se lua în calcul în cotele pe țară.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Directorul participă la ședințele Consiliului cu drept de vot consultativ.</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17 — Funcționarea Consiliului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Consiliul de Administrare se întrunește trimestrial în ședință ordinară și, ori de câte ori este necesar, în ședință extraordinară.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Convocarea se face de Președintele GECT, de Biroul Executiv, sau la cererea a cel puțin unei treimi din membrii Consiliului, cu cel puțin 15 zile înainte.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Ședințele Consiliului de Administrare sunt deliberative, dacă la ele participă majoritatea membrilor aleși, cu reprezentanți din cel puțin trei țări.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Hotărârile se adoptă cu majoritate simplă a membrilor prezenți. În caz de egalitate, votul Președintelui este decisiv.</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Ședințele se pot desfășura și în format online sau hibrid.</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lastRenderedPageBreak/>
        <w:t>Articolul 18 — Atribuțiile Consiliului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Consiliul de Administrare exercită următoarele atribuții: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Implementează hotărârile Adunării Generale;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Pregătește proiectul bugetului anual și îl supune aprobării Adunării Generale;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Aprobă proiectele și programele cu valoare sub pragul stabilit de Adunarea Generală;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Monitorizează implementarea hotărârilor Consiliului de Administrare și a proiectelor în derulare;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 Propune Adunării Generale candidatura Directorului și, după caz, revocarea acestuia;</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f) Aprobă regulamentele interne de organizare și funcționare;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g) Autorizează Directorul să acționeze în numele GECT în relațiile cu terții, în limitele mandatului;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h) Examinează și avizează cererile de aderare a noilor membri, în vederea supunerii lor Adunării Generale;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 Constituie comisii de specialitate și le stabilește mandatul;</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j) Adoptă decizii în orice chestiune delegată de Adunarea Generală;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k) Stabilește componența numerică și nominală a Biroului executiv;</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l) Desemnează auditorul extern independent al conturilor GECT, prin procedură competitivă, pentru un mandat de 3 ani, reînnoibil o singură dată.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m) Convoacă Adunarea Generală în sesiune extraordinară.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pt-BR"/>
        </w:rPr>
        <w:t xml:space="preserve">(2) Consiliul de Administrare poate delega Biroului Executiv, prin hotărâre, exercitarea temporară a oricăror atribuții. </w:t>
      </w:r>
      <w:r w:rsidRPr="00653202">
        <w:rPr>
          <w:rFonts w:ascii="Times New Roman" w:eastAsia="Times New Roman" w:hAnsi="Times New Roman" w:cs="Times New Roman"/>
          <w:kern w:val="0"/>
          <w:sz w:val="24"/>
          <w:szCs w:val="24"/>
          <w:lang w:val="it-IT"/>
        </w:rPr>
        <w:t>Decizia de delegare precizează obiectul, limitele și durata delegării. Consiliul de Administrare poate revoca delegarea în orice moment.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Capitolul VI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Biroul Executiv</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19 — Componența Biroului Executiv</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Biroul Executiv este organul de conducere operativă curentă al GECT, condus de Director.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Componența numerică și nominală este stabilită de către Consiliul de Administrare al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Președintele GECT poate participa la ședințele Biroului Executiv, fără drept de vot.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20 — Funcționarea și atribuțiile Biroului Executiv</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Biroul Executiv se întrunește lunar sau ori de câte ori este necesar, la convocarea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Ședințele Biroului Executiv sunt deliberative, dacă la ele participă majoritatea membrilor aleși.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Hotărârile se adoptă cu majoritate simplă a membrilor prezenți. În caz de egalitate, votul Directorului este decisiv.</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Biroul Executiv exercită următoarele atribuții: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Asigură conducerea GECT între ședințele Consiliului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Adoptă hotărâri urgente care sunt de competența Consiliului de Administrare, cu obligația de a le supune ratificării Consiliului la următoarea ședință;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Coordonează implementarea curentă a proiectelor și programelor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Pregătește ședințele Consiliului de Administrare și elaborează proiectele de hotărâri;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 Coordonează relațiile externe și parteneriatele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lastRenderedPageBreak/>
        <w:t>f) Aprobă cheltuielile curente în limitele bugetului aprobat, până la pragul stabilit de Consiliul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g) Exercită orice alte atribuții delegate de Consiliul de Administrare, în limitele și condițiile stabilite prin hotărârea de delegare.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(5) Biroul Executiv prezintă Consiliului de Administrare un raport privind activitatea sa și modul de exercitare a atribuțiilor delegate, la fiecare ședință ordinară a Consiliului.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(6) Directorul poate delega membrilor Biroului Executiv sarcini specifice de coordonare sau monitorizare a proiectelor, prin Dispoziție scrisă.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Capitolul VII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Președintele și Vicepreședinții</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21 — Președintele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Președintele GECT este ales de Adunarea Generală din rândul reprezentanților membrilor, prin vot deschis, pentru un mandat de 2 (doi) ani. Mandatul poate fi reînnoit o singură dată consecutiv.</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Președinția se exercită prin rotație între cele patru țări membre, în următoarea ordine: România — Republica Moldova — Ucraina — Bulgaria. Primul mandat de Președinte revine unui reprezentant al membrilor din România, în calitate de stat de sediu al GECT. Un ciclu complet de rotație durează 4 ani. La încheierea unui ciclu, rotația reîncepe în aceeași ordine.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La expirarea fiecărui mandat, Președinția trece către țara următoare din ciclul de rotație. Candidaturile se depun exclusiv din rândul membrilor din țara căreia îi revine Președinția. Adunarea Generală alege Președintele dintre candidații propuși de Colegiul Național al țării respective.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În situații excepționale: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dacă funcția devine vacantă în cursul mandatului, Vicepreședintele din aceeași țară preia interimatul până la următoarea Adunare Generală, care alege un nou Președinte din aceeași țară pentru restul mandatului;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dacă niciun candidat din țara căreia îi revine Președinția nu este propus în termen de 60 de zile, Președinția trece către țara următoare din ciclu;</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în caz de forță majoră, Consiliul de Administrare poate decide, cu două treimi, suspendarea temporară a rotației.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(5) Președintele exercită un rol de reprezentare politică și coordonare strategică. Atribuțiile Președintelui sunt: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19"/>
          <w:szCs w:val="24"/>
          <w:lang w:val="pt-BR"/>
        </w:rPr>
        <w:t xml:space="preserve"> </w:t>
      </w:r>
      <w:r w:rsidRPr="00653202">
        <w:rPr>
          <w:rFonts w:ascii="Times New Roman" w:eastAsia="Times New Roman" w:hAnsi="Times New Roman" w:cs="Times New Roman"/>
          <w:kern w:val="0"/>
          <w:sz w:val="24"/>
          <w:szCs w:val="24"/>
          <w:lang w:val="pt-BR"/>
        </w:rPr>
        <w:t>a) reprezintă GECT pe plan politic și diplomatic, în relațiile cu instituțiile europene, parlamentele și guvernele naționale, organizațiile internaționale și alte GECT-uri, în vederea promovării obiectivelor strategice ale grupării. Reprezentarea politică nu implică puterea de a angaja GECT juridic sau financiar;</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prezidează ședințele Adunării Generale și ale Consiliului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contrasemnează, împreună cu Directorul, hotărârile Adunării Generale și ale Consiliului de Administrare, în termen de 5 zile lucrătoare de la adoptare. Contrasemnarea atestă regularitatea procedurii de adoptare. Președintele nu poate refuza contrasemnarea unei hotărâri valabil adoptate cu cvorumul și majoritatea prevăzute de prezentul Statut. În caz de refuz sau de neexercitare a contrasemnării în termenul prevăzut, hotărârea produce efecte juridice depline pe baza semnăturii Directorului și a procesului-verbal de ședință;;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 xml:space="preserve">d) convoacă Adunarea Generală și Consiliul de Administrare, stabilind data, locul și ordinea de zi, în consultare cu Directorul. În caz de urgență sau de indisponibilitate a Președintelui, convocarea poate fi inițiată de Biroul Executiv, în condițiile art. 17 alin. (2); </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 asigură medierea în eventualele conflicte interne dintre membri sau dintre organele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Președintele poate fi revocat de Adunarea Generală în condițiile art. 15 alin. (7) lit. a).</w:t>
      </w:r>
    </w:p>
    <w:p w:rsidR="00653202" w:rsidRPr="00653202" w:rsidRDefault="00653202" w:rsidP="00653202">
      <w:pPr>
        <w:spacing w:before="200" w:after="80" w:line="240" w:lineRule="auto"/>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(7) Președintele și Directorul exercită funcții complementare, delimitate după cum urmează: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   a) Funcția politică și de reprezentare (Președintele) — promovarea GECT la nivel politic, relații interinstituționale, diplomație, mediere, prezidarea organelor deliberative;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   b) Funcția executivă și de gestiune (Directorul) — reprezentarea juridică, gestiunea operațională, angajarea personalului, administrarea patrimoniului, semnarea actelor juridice, conducerea Biroului Executiv.</w:t>
      </w:r>
    </w:p>
    <w:p w:rsidR="00653202" w:rsidRPr="00653202" w:rsidRDefault="00653202" w:rsidP="00653202">
      <w:pPr>
        <w:spacing w:before="200" w:after="8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 xml:space="preserve">(8) Președintele nu poate emite instrucțiuni personalului GECT, nu poate angaja cheltuieli, nu poate semna singur acte juridice în numele GECT și nu se substituie Directorului în exercitarea funcției executive. </w:t>
      </w:r>
      <w:r w:rsidRPr="00653202">
        <w:rPr>
          <w:rFonts w:ascii="Times New Roman" w:eastAsia="Times New Roman" w:hAnsi="Times New Roman" w:cs="Times New Roman"/>
          <w:kern w:val="0"/>
          <w:sz w:val="24"/>
          <w:szCs w:val="24"/>
          <w:lang w:val="pt-BR"/>
        </w:rPr>
        <w:t>Directorul nu se substituie Președintelui în exercitarea funcției politice de reprezentare.</w:t>
      </w:r>
    </w:p>
    <w:p w:rsidR="00653202" w:rsidRPr="00653202" w:rsidRDefault="00653202" w:rsidP="00653202">
      <w:pPr>
        <w:spacing w:before="200" w:after="80" w:line="240" w:lineRule="auto"/>
        <w:jc w:val="both"/>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kern w:val="0"/>
          <w:sz w:val="24"/>
          <w:szCs w:val="24"/>
          <w:lang w:val="pt-BR"/>
        </w:rPr>
        <w:t>(9) În cazul unui dezacord între Președinte și Director cu privire la exercitarea atribuțiilor în zone de competență partajată sau ambiguă, oricare dintre cei doi poate sesiza Consiliul de Administrare. Consiliul de Administrare tranșează dezacordul cu majoritate simplă a membrilor prezenți, la prima ședință ordinară sau, dacă urgența o impune, în termen de 15 zile printr-o ședință extraordinară sau procedură de vot electronic. Până la decizia Consiliului, prevalează poziția Directorului în chestiunile operaționale și financiare, respectiv poziția Președintelui în chestiunile de reprezentare politică și relații interinstituționale.</w:t>
      </w:r>
      <w:r w:rsidRPr="00653202">
        <w:rPr>
          <w:rFonts w:ascii="Times New Roman" w:eastAsia="Times New Roman" w:hAnsi="Times New Roman" w:cs="Times New Roman"/>
          <w:b/>
          <w:kern w:val="0"/>
          <w:sz w:val="24"/>
          <w:szCs w:val="24"/>
          <w:lang w:val="pt-BR"/>
        </w:rPr>
        <w:t xml:space="preserve"> </w:t>
      </w:r>
    </w:p>
    <w:p w:rsidR="00653202" w:rsidRPr="00653202" w:rsidRDefault="00653202" w:rsidP="00653202">
      <w:pPr>
        <w:spacing w:before="200" w:after="8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Articolul 22 — Vicepreședinții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GECT are 4 Vicepreședinți, câte unul din fiecare țară membră, aleși de Consiliul de Administrare pe baza propunerilor Colegiilor Naționale, prin vot deschis, pentru un mandat de 2 ani, reeligibil.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Vicepreședinții: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conduc Colegiul Național al țării pe care o reprezintă, le prezidează ședințele și le coordonează activitatea conform art. 25;</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pt-BR"/>
        </w:rPr>
        <w:t xml:space="preserve">b) înlocuiesc Președintele în caz de indisponibilitate temporară sau vacanță a funcției, în ordinea ciclului de rotație prevăzut la art. 21 alin. </w:t>
      </w:r>
      <w:r w:rsidRPr="00653202">
        <w:rPr>
          <w:rFonts w:ascii="Times New Roman" w:eastAsia="Times New Roman" w:hAnsi="Times New Roman" w:cs="Times New Roman"/>
          <w:kern w:val="0"/>
          <w:sz w:val="24"/>
          <w:szCs w:val="24"/>
          <w:lang w:val="it-IT"/>
        </w:rPr>
        <w:t>(2);</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asigură legătura permanentă între organele GECT și autoritățile guvernamentale, parlamentare și diplomatice ale țării lor;</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reprezintă GECT în relațiile cu instituțiile și organizațiile internaționale de pe teritoriul țării lor;</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 coordonează, împreună cu Secretarul Național, identificarea și pregătirea propunerilor de proiecte;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f) asigură orientarea strategică și monitorizarea politică a activității Secretariatului Național al țării lor, prin formularea de priorități și recomandări. Instrucțiunile operaționale către Secretarul Național sunt emise de Director, conform liniei ierarhice prevăzute la art. 24 și art. 26;</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g) participă la negocierile pentru acordurile de cooperare în care GECT este parte;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lastRenderedPageBreak/>
        <w:t>h) facilitează integrarea noilor membri din țara respectivă;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i) prezintă anual Adunării Generale un raport privind activitatea Colegiului Național.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Vicepreședinții pot fi revocați de Consiliul de Administrare cu majoritate simplă, la propunerea Colegiului Național al țării respective sau a Biroului Executiv, cu respectarea dreptului de audiere.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În caz de vacanță a funcției de Vicepreședinte, Colegiul Național al țării respective propune un nou candidat, care este ales de Consiliul de Administrare la următoarea ședință.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Capitolul VIII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Directorul</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Articolul 23 — Desemnarea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Directorul GECT este ales de Adunarea Generală prin vot deschis, cu majoritate simplă a membrilor prezenți sau reprezentați.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Primul Director al GECT este desemnat de Adunarea Generală de Constituire, în condițiile art. 43 din Statut.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Candidaturile pentru funcția de Director se depun după cum urmează: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la Adunarea Generală de Constituire — candidaturile se depun la Comitetul de Inițiativă, cu cel puțin 15 zile înainte de data Adunării;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ulterior constituirii — candidaturile se depun la Consiliul de administrare, cu cel puțin 15 zile înainte de ședința Adunării Generale.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Condiții de eligibilitate pentru funcția de Director:</w:t>
      </w:r>
    </w:p>
    <w:p w:rsidR="00653202" w:rsidRPr="00653202" w:rsidRDefault="00653202" w:rsidP="00653202">
      <w:pPr>
        <w:numPr>
          <w:ilvl w:val="0"/>
          <w:numId w:val="25"/>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studii superioare;</w:t>
      </w:r>
    </w:p>
    <w:p w:rsidR="00653202" w:rsidRPr="00653202" w:rsidRDefault="00653202" w:rsidP="00653202">
      <w:pPr>
        <w:numPr>
          <w:ilvl w:val="0"/>
          <w:numId w:val="25"/>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experiență în cooperare transfrontalieră, relații internaționale sau management de proiecte europene.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(5) Mandatul Directorului este de 4 ani, reeligibil.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(6) Directorul poate fi revocat de Adunarea Generală în condițiile art. 15 alin. (7) lit. b).</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24 — Atribuțiile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Directorul este reprezentantul legal al GECT și răspunde de gestiunea operațională. Atribuțiile Directorului sunt: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 xml:space="preserve">a) Este reprezentantul legal al GECT. Angajează GECT în relațiile juridice, contractuale și financiare cu terții, în instanță și în fața autorităților administrative. Directorul poate participa, alături de Președinte sau Vicepreședinți, la întâlnirile politice și diplomatice, în calitate de reprezentant legal și gestionar operațional; </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Execută hotărârile Adunării Generale, Consiliului de Administrare și Biroului Executiv;</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Administrează patrimoniul și resursele financiare ale GECT, în calitate de ordonator de credite;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Angajează, conduce și concediază personalul GECT, în conformitate cu legislația muncii aplicabilă;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 Propune proiectul bugetului anual Consiliului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f) Prezintă raportul anual de activitate Consiliului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 xml:space="preserve">g) Coordonează activitatea Secretariatului General și exercită autoritatea ierarhică asupra Secretariatelor Naționale, prin intermediul Secretarilor Naționali care îi raportează direct. Directorul ține seama de recomandările strategice ale Vicepreședinților, formulate conform art. 22 alin. (2) lit. f); </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lastRenderedPageBreak/>
        <w:t>h) Semnează contractele și actele juridice ale GECT, în limitele mandatului primit;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i) Conduce și prezidează Biroul Executiv, în conformitate cu prevederile art. 20;</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j) Aprobă statul de funcții, fișele de post și obiectivele individuale de performanță pentru personalul Secretariatului General;</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k) Coordonează elaborarea și implementarea proiectelor și programelor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l) Desemnează managerii de proiect și echipele de implementare din cadrul personalului GECT, la propunerea Secretarului General.</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m) Semnează acordurile de parteneriat cu co-beneficiarii proiectelor;</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n) Execută bugetul GECT, fiind ordonator principal de credite;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o) Îndeplinește orice alte atribuții delegate de Adunarea Generală sau Consiliul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Directorul prezintă Consiliului de Administrare și Adunării Generale un raport trimestrial/anual privind situația financiară și stadiul implementării proiectelor.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Directorul poate delega atribuții specifice personalului GECT, prin decizie scrisă.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IX</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Colegiile Naționale și Secretariatele Naționale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25 — Colegiile Naționale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Membrii GECT din fiecare țară se constituie într-un Colegiu Național. Colegiile Naționale sunt: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Colegiul Național România;</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Colegiul Național Republica Moldova;</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Colegiul Național Ucraina;</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Colegiul Național Bulgaria.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Fiecare Colegiu Național:</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Se întrunește cel puțin de patru ori pe an;</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Este prezidat de Vicepreședintele GECT din țara respectivă;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Propune pentru consiliul de Administrare candidatul la funcția de vicepreședinte;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Propune candidații pentru Consiliul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 Coordonează pozițiile membrilor din țara respectivă;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 Facilitează comunicarea între GECT și membrii din țara respectivă;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g) Formulează propuneri și inițiative pentru activitatea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h) Asigură relația cu autoritățile naționale competente din țara respectivă.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Hotărârile Colegiului Național au caracter consultativ și de propunere, cu excepția atribuției de nominalizare a candidaților pentru funcția de vicepreședinte și pentru Consiliul de Administrare și a exercitării dreptului de veto național prevăzut la art. 15 alin. (4).</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26 — Secretariatele Naționale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În fiecare țară membră funcționează un Secretariat Național, cu rol de structură operativă permanentă a GECT pe teritoriul țării respective.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Secretariatul Național este condus de un Secretar Național, numit de Director cu avizul consultativ al Vicepreședintelui țării respective.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 xml:space="preserve">(3) Secretarul Național raportează direct Directorului pe linia ierarhică operațională. Secretarul Național informează periodic Vicepreședintele GECT al țării respective cu privire la activitatea </w:t>
      </w:r>
      <w:r w:rsidRPr="00653202">
        <w:rPr>
          <w:rFonts w:ascii="Times New Roman" w:eastAsia="Times New Roman" w:hAnsi="Times New Roman" w:cs="Times New Roman"/>
          <w:kern w:val="0"/>
          <w:sz w:val="24"/>
          <w:szCs w:val="24"/>
          <w:lang w:val="pt-BR"/>
        </w:rPr>
        <w:lastRenderedPageBreak/>
        <w:t>curentă și consultă Vicepreședintele în chestiunile de orientare strategică națională. În caz de instrucțiuni contradictorii, prevalează instrucțiunile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Secretariatul Național exercită următoarele atribuții: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Identifică oportunitățile de finanțare și coordonează pregătirea dosarelor de proiecte;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Coordonează implementarea componentelor de proiect care se desfășoară pe teritoriul țării;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Acordă asistență tehnică membrilor din țara respectivă;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Asigură legătura permanentă între GECT și autoritățile guvernamentale ale țării respective;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 Organizează logistic ședințele Colegiului Național și evenimentele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f) Colectează contribuțiile financiare ale membrilor din țara respectivă.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(5) Secretarul Național răspunde ierarhic în fața Directorului și funcțional în fața Vicepreședintelui țării respective.</w:t>
      </w:r>
    </w:p>
    <w:p w:rsidR="00653202" w:rsidRPr="00653202" w:rsidRDefault="00653202" w:rsidP="00653202">
      <w:pPr>
        <w:spacing w:after="0" w:line="240" w:lineRule="auto"/>
        <w:jc w:val="both"/>
        <w:rPr>
          <w:rFonts w:ascii="Times New Roman" w:eastAsia="Times New Roman" w:hAnsi="Times New Roman" w:cs="Times New Roman"/>
          <w:color w:val="EE0000"/>
          <w:kern w:val="0"/>
          <w:sz w:val="24"/>
          <w:szCs w:val="24"/>
          <w:lang w:val="pt-BR"/>
        </w:rPr>
      </w:pPr>
      <w:r w:rsidRPr="00653202">
        <w:rPr>
          <w:rFonts w:ascii="Times New Roman" w:eastAsia="Times New Roman" w:hAnsi="Times New Roman" w:cs="Times New Roman"/>
          <w:kern w:val="0"/>
          <w:sz w:val="24"/>
          <w:szCs w:val="24"/>
          <w:lang w:val="pt-BR"/>
        </w:rPr>
        <w:t xml:space="preserve">(6) Cheltuielile de funcționare, inclusiv costurile de personal, sunt acoperite din bugetul GECT. Personalul Secretariatelor Naționale este angajat de GECT în conformitate cu prevederile art. 14 din Convenție și art. 36 din prezentul Statut.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(7) Directorul deleagă Secretarului Național, prin Dispoziție, competențe curente de gestiune a personalului. Angajarea și concedierea rămân competența exclusivă a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(8) Organizarea internă, procedurile de lucru și atribuțiile detaliate ale Secretariatelor Naționale se stabilesc prin Regulamentul de Organizare și Funcționare, aprobat de Consiliul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 xml:space="preserve">(9) În vederea asigurării capacității operaționale depline pe teritoriul fiecărei țări membre, GECT înregistrează, prin decizia Consiliului de Administrare, filiale conform legislației naționale a Bulgariei, Republicii Moldova și Ucrainei. </w:t>
      </w:r>
      <w:r w:rsidRPr="00653202">
        <w:rPr>
          <w:rFonts w:ascii="Times New Roman" w:eastAsia="Times New Roman" w:hAnsi="Times New Roman" w:cs="Times New Roman"/>
          <w:kern w:val="0"/>
          <w:sz w:val="24"/>
          <w:szCs w:val="24"/>
          <w:lang w:val="it-IT"/>
        </w:rPr>
        <w:t>Secretariatele Naționale funcționează în cadrul juridic al acestor filiale.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 xml:space="preserve">Capitolul X </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Secretariatul General, Comitetul de Evaluare și Selecție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p>
    <w:p w:rsidR="00653202" w:rsidRPr="00653202" w:rsidRDefault="00653202" w:rsidP="00653202">
      <w:pPr>
        <w:spacing w:after="120" w:line="276" w:lineRule="auto"/>
        <w:jc w:val="center"/>
        <w:rPr>
          <w:rFonts w:ascii="Arial" w:eastAsia="Times New Roman" w:hAnsi="Arial" w:cs="Times New Roman"/>
          <w:kern w:val="0"/>
          <w:lang w:val="pt-BR"/>
        </w:rPr>
      </w:pPr>
      <w:r w:rsidRPr="00653202">
        <w:rPr>
          <w:rFonts w:ascii="Arial" w:eastAsia="Times New Roman" w:hAnsi="Arial" w:cs="Times New Roman"/>
          <w:b/>
          <w:bCs/>
          <w:kern w:val="0"/>
          <w:lang w:val="pt-BR"/>
        </w:rPr>
        <w:t>Articolul 27 — Organizarea Secretariatului General</w:t>
      </w:r>
    </w:p>
    <w:p w:rsidR="00653202" w:rsidRPr="00653202" w:rsidRDefault="00653202" w:rsidP="00653202">
      <w:pPr>
        <w:spacing w:after="120" w:line="276" w:lineRule="auto"/>
        <w:jc w:val="both"/>
        <w:rPr>
          <w:rFonts w:ascii="Arial" w:eastAsia="Times New Roman" w:hAnsi="Arial" w:cs="Times New Roman"/>
          <w:kern w:val="0"/>
          <w:lang w:val="pt-BR"/>
        </w:rPr>
      </w:pPr>
      <w:r w:rsidRPr="00653202">
        <w:rPr>
          <w:rFonts w:ascii="Arial" w:eastAsia="Times New Roman" w:hAnsi="Arial" w:cs="Times New Roman"/>
          <w:kern w:val="0"/>
          <w:lang w:val="pt-BR"/>
        </w:rPr>
        <w:t>(1) Secretariatul General este structura operativă centrală a GECT, cu sediul la adresa sediului principal al grupării, sub conducerea Secretarului General.</w:t>
      </w:r>
    </w:p>
    <w:p w:rsidR="00653202" w:rsidRPr="00653202" w:rsidRDefault="00653202" w:rsidP="00653202">
      <w:pPr>
        <w:spacing w:after="120" w:line="276" w:lineRule="auto"/>
        <w:jc w:val="both"/>
        <w:rPr>
          <w:rFonts w:ascii="Arial" w:eastAsia="Times New Roman" w:hAnsi="Arial" w:cs="Times New Roman"/>
          <w:kern w:val="0"/>
          <w:lang w:val="pt-BR"/>
        </w:rPr>
      </w:pPr>
      <w:r w:rsidRPr="00653202">
        <w:rPr>
          <w:rFonts w:ascii="Arial" w:eastAsia="Times New Roman" w:hAnsi="Arial" w:cs="Times New Roman"/>
          <w:kern w:val="0"/>
          <w:lang w:val="pt-BR"/>
        </w:rPr>
        <w:t>(2) Secretariatul General exercită următoarele atribuții: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Coordonează portofoliul de proiecte al GECT la nivel transfrontalier;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Elaborează și depune propunerile de proiecte majore;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Asigură gestiunea financiar-contabilă, elaborarea bugetului anual și întocmirea situațiilor financiare;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Acordă asistență Directorului și organelor de conducere;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 Asigură comunicarea, traducerile și relațiile externe ale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 Pregătește și asigură suportul tehnic pentru ședințele organelor de conducere.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Directorul numește, cu aprobarea Consiliului de Administrare, Secretarul General care îl secondează și îl înlocuiește în caz de absență temporară.</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t>(4) Personalul Secretariatului General este angajat de GECT în conformitate cu prevederile art. 14 din Convenție și art. 39 din prezentul Statut, în baza legislației muncii din România.</w:t>
      </w:r>
    </w:p>
    <w:p w:rsidR="00653202" w:rsidRPr="00653202" w:rsidRDefault="00653202" w:rsidP="00653202">
      <w:pPr>
        <w:spacing w:after="120" w:line="276" w:lineRule="auto"/>
        <w:jc w:val="both"/>
        <w:rPr>
          <w:rFonts w:ascii="Arial" w:eastAsia="Times New Roman" w:hAnsi="Arial" w:cs="Times New Roman"/>
          <w:kern w:val="0"/>
          <w:lang w:val="it-IT"/>
        </w:rPr>
      </w:pPr>
      <w:r w:rsidRPr="00653202">
        <w:rPr>
          <w:rFonts w:ascii="Arial" w:eastAsia="Times New Roman" w:hAnsi="Arial" w:cs="Times New Roman"/>
          <w:kern w:val="0"/>
          <w:lang w:val="it-IT"/>
        </w:rPr>
        <w:lastRenderedPageBreak/>
        <w:t>(5) Structura organizatorică detaliată, numărul de posturi și atribuțiile specifice se stabilesc prin Regulamentul de Organizare și Funcționare a Secretariatului General, aprobat de Consiliul de Administrare la propunerea Directorului.</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28 — Comitetul de Evaluare și Selecție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Comitetul de Evaluare și Selecție este organul tehnic consultativ al GECT în materia proiectelor și programelor de cooperare.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(2) Comitetul este compus din 4 (patru) membri — câte unul propus de Colegiul Național al fiecărui stat fondator — cu experiență dovedită în managementul proiectelor europene, cooperare transfrontalieră sau dezvoltare regională.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3) Membrii Comitetului sunt selectați prin procedură competitivă și transparentă, organizată de Director, și numiți de Consiliul de Administrare pentru un mandat de 2 (doi) ani, reeligibil. Prin excepție, membrii Comitetului desemnați de Adunarea Generală de Constituire în condițiile art. 43 exercită funcțiile de la data dobândirii personalității juridice a GECT EAST GATE, fără parcurgerea procedurii competitive. </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Calitatea de membru al Comitetului de Evaluare și Selecție este incompatibilă cu calitatea de angajat al GECT, membru al Consiliului de Administrare, membru al Biroului Executiv sau membru al Comisiei de Cenzori.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(5) Comitetul de Evaluare și Selecție exercită următoarele atribuții: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Evaluează oportunitățile de finanțare și recomandă Directorului prioritizarea apelurilor;</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Evaluează propunerile de proiecte și emite un aviz de calitate înainte de depunere;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Evaluează și selectează membrii eligibili pentru participarea în proiecte;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Evaluează proiectele depuse în cadrul fondurilor mici gestionate de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 Formulează recomandări privind componența consorțiilor transfrontaliere;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 Monitorizează performanța proiectelor și recomandă măsuri corective.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 xml:space="preserve">(6) Avizele și recomandările Comitetului au caracter consultativ. </w:t>
      </w:r>
      <w:r w:rsidRPr="00653202">
        <w:rPr>
          <w:rFonts w:ascii="Times New Roman" w:eastAsia="Times New Roman" w:hAnsi="Times New Roman" w:cs="Times New Roman"/>
          <w:kern w:val="0"/>
          <w:sz w:val="24"/>
          <w:szCs w:val="24"/>
          <w:lang w:val="pt-BR"/>
        </w:rPr>
        <w:t>Directorul poate decide motivat diferit, cu obligația de a informa Consiliul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(7) Comitetul se întrunește ori de câte ori este necesar, la convocarea Directorului sau a Președintelui Comitetului.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(8) Membrii Comitetului sunt remunerați din bugetul GECT. Nivelul remunerației se stabilește de Consiliul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(9) Procedurile detaliate de evaluare, criteriile de selecție, grilele de punctaj și termenele se stabilesc prin regulament intern aprobat de Consiliul de Administrare.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Capitolul XI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Comisia de Cenzori</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29 — Organizarea și atribuțiile Comisiei de Cenzori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Comisia de Cenzori este organul de control financiar intern al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Comisia de Cenzori este compusă din 4 membri, câte unul din fiecare țară, aleși de Adunarea Generală pe baza propunerilor Colegiilor Naționale, pentru un mandat de 4 ani, reeligibil.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Pot fi aleși membri ai Comisiei de Cenzori persoanele care îndeplinesc cumulativ următoarele condiții:</w:t>
      </w:r>
    </w:p>
    <w:p w:rsidR="00653202" w:rsidRPr="00653202" w:rsidRDefault="00653202" w:rsidP="00653202">
      <w:pPr>
        <w:numPr>
          <w:ilvl w:val="0"/>
          <w:numId w:val="26"/>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 studii superioare în domeniul economic, financiar-contabil sau juridic;</w:t>
      </w:r>
    </w:p>
    <w:p w:rsidR="00653202" w:rsidRPr="00653202" w:rsidRDefault="00653202" w:rsidP="00653202">
      <w:pPr>
        <w:numPr>
          <w:ilvl w:val="0"/>
          <w:numId w:val="26"/>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Au experiență profesională de cel puțin 3 ani în domeniul financiar, contabilitate, audit sau control;</w:t>
      </w:r>
    </w:p>
    <w:p w:rsidR="00653202" w:rsidRPr="00653202" w:rsidRDefault="00653202" w:rsidP="00653202">
      <w:pPr>
        <w:numPr>
          <w:ilvl w:val="0"/>
          <w:numId w:val="26"/>
        </w:numPr>
        <w:spacing w:after="60" w:line="276" w:lineRule="auto"/>
        <w:contextualSpacing/>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Nu sunt angajați ai GECT, membri ai Consiliului de Administrare, ai Biroului Executiv sau rude până la gradul II ale Directorului ori ale Președintelui.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Comisia de Cenzori exercită următoarele atribuții: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Verifică semestrial conformitatea execuției bugetare cu bugetul aprobat;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Verifică legalitatea și regularitatea operațiunilor financiare;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Verifică existența și corectitudinea documentelor justificative;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Verifică situațiile financiare anuale înainte de prezentarea lor Adunării Generale;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 Prezintă Adunării Generale un raport anual;</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 Semnalează Consiliului de Administrare orice neregulă constatată;</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g) Poate solicita Directorului orice document, informație sau explicație necesară.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Membrii Comisiei de Cenzori au acces nerestricționat la toate documentele financiar-contabile ale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Comisia de Cenzori se întrunește cel puțin de două ori pe an. Hotărârile se adoptă cu majoritate simplă. În caz de egalitate, verificarea se consideră nefavorabilă.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(7) Comisia de Cenzori nu se substituie auditului extern independent, care se realizează în conformitate cu prevederile art. 31.</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(8) Membrii Comisiei de Cenzori pot fi revocați de Adunarea Generală în condițiile art. 14 alin. (7) lit. d).</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TITLUL IV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DISPOZIȚII FINANCIARE ȘI PATRIMONIALE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Capitolul XII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Bugetul, Contribuții și Contabilitate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30 — Bugetul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GECT stabilește un buget anual, adoptat de Adunarea Generală la propunerea Consiliului de Administrare, în baza proiectului propus de Director.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Bugetul anual cuprinde: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Componenta de funcționare: cheltuielile de personal, chiria și întreținerea sediilor, deplasările, traducerile, comunicarea, echipamentele, serviciile juridice și contabile, auditul extern, remunerațiile Comitetului de Evaluare și Selecție și alte cheltuieli administrative curente;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Componenta operațională: cheltuielile legate de pregătirea, implementarea și cofinanțarea proiectelor, organizarea evenimentelor, studiilor și acțiunilor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Fondul de rezervă: o cotă de cel puțin 5% din veniturile anuale.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Veniturile bugetare provin din sursele prevăzute la art. 7 din Convenție.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Contribuțiile anuale ale membrilor se alocă cu prioritate componentei de funcționare.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Exercițiul financiar coincide cu anul calendaristic.</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Directorul execută bugetul și prezintă trimestrial Consiliului de Administrare un raport privind execuția bugetară.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(7) Situațiile financiare anuale se întocmesc în conformitate cu legislația statului de sediu și sunt supuse auditului extern independent. Situațiile financiare auditate și raportul anual de activitate se prezintă Adunării Generale spre aprobare.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31 — Contribuțiile financiare ale membrilor</w:t>
      </w:r>
    </w:p>
    <w:p w:rsidR="00653202" w:rsidRPr="00653202" w:rsidRDefault="00653202" w:rsidP="00653202">
      <w:pPr>
        <w:spacing w:after="40" w:line="240" w:lineRule="auto"/>
        <w:jc w:val="center"/>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lastRenderedPageBreak/>
        <w:t>(1) Fiecare membru achită o contribuție financiară anuală la bugetul GECT. Contribuția constituie sursa principală de finanțare a componentei de funcționare a bugetului prevăzut la art. 30.</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Nivelul și structura contribuțiilor se stabilesc prin hotărâre a Adunării Generale, la propunerea Consiliului de Administrare, pe baza unui proiect elaborat de Director, cu respectarea principiilor prevăzute la alin. (3).</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Grila de contribuții respectă următoarele principii: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principiul diferențierii — contribuțiile se diferențiază pe categorii de membri, în funcție de tipul autorității, de nivelul administrativ al acesteia, de dimensiunea sa demografică și, după caz, de capacitatea financiară, după cum urmează: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Categoria I: unități administrativ-teritoriale de nivelul II din state membre ale Uniunii Europene (județe — România; regiuni — Bulgaria);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Categoria II: unități administrativ-teritoriale de nivelul I din state membre ale Uniunii Europene cu o populație de peste 20.000 de locuitori (municipii și orașe — România; obștini urbane — Bulgaria);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Categoria III: unități administrativ-teritoriale de nivelul I din state membre ale Uniunii Europene cu o populație de până la 20.000 de locuitori (comune și orașe — România; obștini rurale — Bulgaria);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Categoria IV: unități administrativ-teritoriale de nivelul II din state terțe (raioane — Republica Moldova; raioane și oblasturi — Ucraina);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Categoria V: unități administrativ-teritoriale de nivelul I din state terțe cu o populație de peste 20.000 de locuitori (municipii și orașe — Republica Moldova; hromade urbane — Ucraina);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Categoria VI: unități administrativ-teritoriale de nivelul I din state terțe cu o populație de până la 20.000 de locuitori (comune și orașe mici — Republica Moldova; hromade rurale — Ucraina);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Categoria VII: entități asociative și organisme de drept public (zone metropolitane, grupuri de acțiune locală, asociații de dezvoltare intercomunitară, euroregiuni, universități de stat, instituții publice) din oricare dintre cele patru state fondatoare;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principiul echității geografice — membrii din state terțe beneficiază de un nivel redus, proporțional cu diferențele obiective de capacitate financiară față de membrii din state membre ale Uniunii Europene. Diferențierea încetează de la data aderării statului respectiv la Uniunea Europeană;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principiul predictibilității — grila rămâne în vigoare minimum 2 (doi) ani; majorarea nu poate depăși 10% pe an;</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principiul performanței — grila de contribuții este corelată cu angajamentul GECT de a identifica, iniția sau sprijine cel puțin un proiect în beneficiul fiecărui membru, în cuantum de minimum 20.000 EUR, în termen de 1 (un) an de la data dobândirii personalității juridice a Grupării."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Populația membrilor se determină conform ultimului recensământ oficial al statului din care provine membrul, valabil la data aderării la GECT EAST GATE.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Prima grilă de contribuții se adoptă de Adunarea Generală de Constituire și se anexează la Procesul-Verbal al acesteia. Grila adoptată rămâne în vigoare minimum 2 (doi) ani de la data primului exercițiu financiar, fără posibilitate de majorare pe această perioadă. Grila produce efecte de la data dobândirii personalității juridice a GECT EAST GATE.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(6) În perioada de valabilitate a primei grile de contribuții, GECT EAST GATE se angajează să identifice, să inițieze sau să sprijine cel puțin un proiect în beneficiul fiecărui membru fondator, cu o valoare totală de finanțare de minimum 20.000 EUR (douăzeci de mii de euro), în termen de </w:t>
      </w:r>
      <w:r w:rsidRPr="00653202">
        <w:rPr>
          <w:rFonts w:ascii="Times New Roman" w:eastAsia="Times New Roman" w:hAnsi="Times New Roman" w:cs="Times New Roman"/>
          <w:kern w:val="0"/>
          <w:sz w:val="24"/>
          <w:szCs w:val="24"/>
          <w:lang w:val="it-IT"/>
        </w:rPr>
        <w:lastRenderedPageBreak/>
        <w:t>1 (un) an de la data dobândirii personalității juridice. Angajamentul se consideră îndeplinit dacă membrul beneficiază, în calitate de partener direct sau ca beneficiar al activităților ori investițiilor finanțate, de o valoare cumulată de minimum 20.000 EUR provenită din finanțări externe atrase prin intermediul sau cu sprijinul GECT EAST GATE. Consiliul de Administrare raportează anual Adunării Generale stadiul îndeplinirii angajamentului față de fiecare membru. În situația neîndeplinirii angajamentului față de un anumit membru la expirarea termenului, membrul în cauză poate solicita Adunării Generale reexaminarea nivelului contribuției sale financiare pentru perioada următoare, inclusiv reducerea acesteia proporțional cu nivelul de realizare a angajamentului.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it-IT"/>
        </w:rPr>
        <w:t xml:space="preserve">(7) Grila se revizuiește cel puțin o dată la 3 ani. </w:t>
      </w:r>
      <w:r w:rsidRPr="00653202">
        <w:rPr>
          <w:rFonts w:ascii="Times New Roman" w:eastAsia="Times New Roman" w:hAnsi="Times New Roman" w:cs="Times New Roman"/>
          <w:kern w:val="0"/>
          <w:sz w:val="24"/>
          <w:szCs w:val="24"/>
          <w:lang w:val="pt-BR"/>
        </w:rPr>
        <w:t>Propunerea de revizuire este însoțită de o notă de fundamentare a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(8) Contribuția se achită anual, în două tranșe semestriale egale: 50% până la 31 martie și 50% până la 30 septembrie;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(9) Noul membru achită contribuția pro-rata pentru lunile rămase din exercițiul financiar;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(10) Efectele neachitării contribuției: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   a) 6 luni — suspendarea includerii în noi proiecte;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   b) 12 luni — suspendarea dreptului de vot și a accesului la asistență tehnică;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   c) 24 luni — CA poate propune AG excluderea membrului.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(11) Membrul cu dificultăți financiare excepționale poate solicita CA o eșalonare sau reducere temporară, pentru maximum 12 luni, reînnoibilă o singură dată.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32 — Drepturile membrilor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Membrii care au achitat contribuția anuală la zi beneficiază de următoarele drepturi și servicii: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Dreptul de a participa cu drept de vot în Adunarea Generală și de a candida pentru funcțiile prevăzute de Statut;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b) Dreptul de a fi inclus ca partener în proiectele și programele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c) Asistență tehnică din partea Secretariatelor pentru identificarea și pregătirea propunerilor de proiecte;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d) Acces la programele de formare, schimburi de experiență și evenimente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 Reprezentare prin GECT în relațiile cu instituțiile europene și organizațiile internaționale;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f) Acces la baza de date a GECT privind oportunitățile de finanțare;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g) Utilizarea numelui, siglei și calității de membru al GECT EAST GATE;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Directorul publică anual un raport privind beneficiile concrete aduse membrilor în anul precedent.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33  Surse de finanțare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Resursele GECT provin din sursele prevăzute la art. 7 din Convenție.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34 Contabilitate și raportare financiară</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(1) Contabilitatea GECT se ține în conformitate cu legislația contabilă din România și cu standardele internaționale aplicabile.</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(2) Conturile anuale, însoțite de raportul auditorului extern și de raportul Comisiei de Cenzori, se supun aprobării Adunării Generale.</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lastRenderedPageBreak/>
        <w:t>(3) Stabilirea conturilor GECT, inclusiv a raportului anual care le însoțește, precum și controlul și publicarea acestor conturi, sunt reglementate de dreptul național al României, în conformitate cu art. 11 alin. (2) din Regulamentul (CE) nr. 1082/2006.</w:t>
      </w:r>
    </w:p>
    <w:p w:rsidR="00653202" w:rsidRPr="00653202" w:rsidRDefault="00653202" w:rsidP="00653202">
      <w:pPr>
        <w:spacing w:before="200" w:after="8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Articolul 35 — Auditul extern independent</w:t>
      </w:r>
    </w:p>
    <w:p w:rsidR="00653202" w:rsidRPr="00653202" w:rsidRDefault="00653202" w:rsidP="00653202">
      <w:pPr>
        <w:spacing w:after="120" w:line="276" w:lineRule="auto"/>
        <w:rPr>
          <w:rFonts w:ascii="Arial" w:eastAsia="Times New Roman" w:hAnsi="Arial" w:cs="Times New Roman"/>
          <w:kern w:val="0"/>
        </w:rPr>
      </w:pPr>
      <w:r w:rsidRPr="00653202">
        <w:rPr>
          <w:rFonts w:ascii="Arial" w:eastAsia="Times New Roman" w:hAnsi="Arial" w:cs="Times New Roman"/>
          <w:kern w:val="0"/>
          <w:lang w:val="it-IT"/>
        </w:rPr>
        <w:t xml:space="preserve">(1) Situațiile financiare anuale ale GECT sunt auditate de un auditor extern independent, desemnat de Adunarea Generală în conformitate cu prevederile art. 14 alin. </w:t>
      </w:r>
      <w:r w:rsidRPr="00653202">
        <w:rPr>
          <w:rFonts w:ascii="Arial" w:eastAsia="Times New Roman" w:hAnsi="Arial" w:cs="Times New Roman"/>
          <w:kern w:val="0"/>
        </w:rPr>
        <w:t xml:space="preserve">(1) lit. h) din </w:t>
      </w:r>
      <w:proofErr w:type="spellStart"/>
      <w:r w:rsidRPr="00653202">
        <w:rPr>
          <w:rFonts w:ascii="Arial" w:eastAsia="Times New Roman" w:hAnsi="Arial" w:cs="Times New Roman"/>
          <w:kern w:val="0"/>
        </w:rPr>
        <w:t>prezentul</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Statut</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potrivit</w:t>
      </w:r>
      <w:proofErr w:type="spellEnd"/>
      <w:r w:rsidRPr="00653202">
        <w:rPr>
          <w:rFonts w:ascii="Arial" w:eastAsia="Times New Roman" w:hAnsi="Arial" w:cs="Times New Roman"/>
          <w:kern w:val="0"/>
        </w:rPr>
        <w:t xml:space="preserve"> art. 9 </w:t>
      </w:r>
      <w:proofErr w:type="spellStart"/>
      <w:r w:rsidRPr="00653202">
        <w:rPr>
          <w:rFonts w:ascii="Arial" w:eastAsia="Times New Roman" w:hAnsi="Arial" w:cs="Times New Roman"/>
          <w:kern w:val="0"/>
        </w:rPr>
        <w:t>alin</w:t>
      </w:r>
      <w:proofErr w:type="spellEnd"/>
      <w:r w:rsidRPr="00653202">
        <w:rPr>
          <w:rFonts w:ascii="Arial" w:eastAsia="Times New Roman" w:hAnsi="Arial" w:cs="Times New Roman"/>
          <w:kern w:val="0"/>
        </w:rPr>
        <w:t xml:space="preserve">. (2) lit. (h) din </w:t>
      </w:r>
      <w:proofErr w:type="spellStart"/>
      <w:r w:rsidRPr="00653202">
        <w:rPr>
          <w:rFonts w:ascii="Arial" w:eastAsia="Times New Roman" w:hAnsi="Arial" w:cs="Times New Roman"/>
          <w:kern w:val="0"/>
        </w:rPr>
        <w:t>Regulamentul</w:t>
      </w:r>
      <w:proofErr w:type="spellEnd"/>
      <w:r w:rsidRPr="00653202">
        <w:rPr>
          <w:rFonts w:ascii="Arial" w:eastAsia="Times New Roman" w:hAnsi="Arial" w:cs="Times New Roman"/>
          <w:kern w:val="0"/>
        </w:rPr>
        <w:t xml:space="preserve"> (CE) nr. 1082/2006.</w:t>
      </w:r>
    </w:p>
    <w:p w:rsidR="00653202" w:rsidRPr="00653202" w:rsidRDefault="00653202" w:rsidP="00653202">
      <w:pPr>
        <w:spacing w:after="120" w:line="276" w:lineRule="auto"/>
        <w:rPr>
          <w:rFonts w:ascii="Arial" w:eastAsia="Times New Roman" w:hAnsi="Arial" w:cs="Times New Roman"/>
          <w:kern w:val="0"/>
        </w:rPr>
      </w:pPr>
      <w:r w:rsidRPr="00653202">
        <w:rPr>
          <w:rFonts w:ascii="Arial" w:eastAsia="Times New Roman" w:hAnsi="Arial" w:cs="Times New Roman"/>
          <w:kern w:val="0"/>
        </w:rPr>
        <w:t xml:space="preserve">(2) </w:t>
      </w:r>
      <w:proofErr w:type="spellStart"/>
      <w:r w:rsidRPr="00653202">
        <w:rPr>
          <w:rFonts w:ascii="Arial" w:eastAsia="Times New Roman" w:hAnsi="Arial" w:cs="Times New Roman"/>
          <w:kern w:val="0"/>
        </w:rPr>
        <w:t>Auditorul</w:t>
      </w:r>
      <w:proofErr w:type="spellEnd"/>
      <w:r w:rsidRPr="00653202">
        <w:rPr>
          <w:rFonts w:ascii="Arial" w:eastAsia="Times New Roman" w:hAnsi="Arial" w:cs="Times New Roman"/>
          <w:kern w:val="0"/>
        </w:rPr>
        <w:t xml:space="preserve"> extern </w:t>
      </w:r>
      <w:proofErr w:type="spellStart"/>
      <w:r w:rsidRPr="00653202">
        <w:rPr>
          <w:rFonts w:ascii="Arial" w:eastAsia="Times New Roman" w:hAnsi="Arial" w:cs="Times New Roman"/>
          <w:kern w:val="0"/>
        </w:rPr>
        <w:t>trebuie</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să</w:t>
      </w:r>
      <w:proofErr w:type="spellEnd"/>
      <w:r w:rsidRPr="00653202">
        <w:rPr>
          <w:rFonts w:ascii="Arial" w:eastAsia="Times New Roman" w:hAnsi="Arial" w:cs="Times New Roman"/>
          <w:kern w:val="0"/>
        </w:rPr>
        <w:t xml:space="preserve"> fie </w:t>
      </w:r>
      <w:proofErr w:type="spellStart"/>
      <w:r w:rsidRPr="00653202">
        <w:rPr>
          <w:rFonts w:ascii="Arial" w:eastAsia="Times New Roman" w:hAnsi="Arial" w:cs="Times New Roman"/>
          <w:kern w:val="0"/>
        </w:rPr>
        <w:t>înregistrat</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în</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registrul</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auditorilor</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financiari</w:t>
      </w:r>
      <w:proofErr w:type="spellEnd"/>
      <w:r w:rsidRPr="00653202">
        <w:rPr>
          <w:rFonts w:ascii="Arial" w:eastAsia="Times New Roman" w:hAnsi="Arial" w:cs="Times New Roman"/>
          <w:kern w:val="0"/>
        </w:rPr>
        <w:t xml:space="preserve"> din </w:t>
      </w:r>
      <w:proofErr w:type="spellStart"/>
      <w:r w:rsidRPr="00653202">
        <w:rPr>
          <w:rFonts w:ascii="Arial" w:eastAsia="Times New Roman" w:hAnsi="Arial" w:cs="Times New Roman"/>
          <w:kern w:val="0"/>
        </w:rPr>
        <w:t>România</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sau</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dintr</w:t>
      </w:r>
      <w:proofErr w:type="spellEnd"/>
      <w:r w:rsidRPr="00653202">
        <w:rPr>
          <w:rFonts w:ascii="Arial" w:eastAsia="Times New Roman" w:hAnsi="Arial" w:cs="Times New Roman"/>
          <w:kern w:val="0"/>
        </w:rPr>
        <w:t xml:space="preserve">-un alt stat </w:t>
      </w:r>
      <w:proofErr w:type="spellStart"/>
      <w:r w:rsidRPr="00653202">
        <w:rPr>
          <w:rFonts w:ascii="Arial" w:eastAsia="Times New Roman" w:hAnsi="Arial" w:cs="Times New Roman"/>
          <w:kern w:val="0"/>
        </w:rPr>
        <w:t>membru</w:t>
      </w:r>
      <w:proofErr w:type="spellEnd"/>
      <w:r w:rsidRPr="00653202">
        <w:rPr>
          <w:rFonts w:ascii="Arial" w:eastAsia="Times New Roman" w:hAnsi="Arial" w:cs="Times New Roman"/>
          <w:kern w:val="0"/>
        </w:rPr>
        <w:t xml:space="preserve"> al </w:t>
      </w:r>
      <w:proofErr w:type="spellStart"/>
      <w:r w:rsidRPr="00653202">
        <w:rPr>
          <w:rFonts w:ascii="Arial" w:eastAsia="Times New Roman" w:hAnsi="Arial" w:cs="Times New Roman"/>
          <w:kern w:val="0"/>
        </w:rPr>
        <w:t>Uniunii</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Europene</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și</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să</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îndeplinească</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condițiile</w:t>
      </w:r>
      <w:proofErr w:type="spellEnd"/>
      <w:r w:rsidRPr="00653202">
        <w:rPr>
          <w:rFonts w:ascii="Arial" w:eastAsia="Times New Roman" w:hAnsi="Arial" w:cs="Times New Roman"/>
          <w:kern w:val="0"/>
        </w:rPr>
        <w:t xml:space="preserve"> de </w:t>
      </w:r>
      <w:proofErr w:type="spellStart"/>
      <w:r w:rsidRPr="00653202">
        <w:rPr>
          <w:rFonts w:ascii="Arial" w:eastAsia="Times New Roman" w:hAnsi="Arial" w:cs="Times New Roman"/>
          <w:kern w:val="0"/>
        </w:rPr>
        <w:t>independență</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prevăzute</w:t>
      </w:r>
      <w:proofErr w:type="spellEnd"/>
      <w:r w:rsidRPr="00653202">
        <w:rPr>
          <w:rFonts w:ascii="Arial" w:eastAsia="Times New Roman" w:hAnsi="Arial" w:cs="Times New Roman"/>
          <w:kern w:val="0"/>
        </w:rPr>
        <w:t xml:space="preserve"> de </w:t>
      </w:r>
      <w:proofErr w:type="spellStart"/>
      <w:r w:rsidRPr="00653202">
        <w:rPr>
          <w:rFonts w:ascii="Arial" w:eastAsia="Times New Roman" w:hAnsi="Arial" w:cs="Times New Roman"/>
          <w:kern w:val="0"/>
        </w:rPr>
        <w:t>legislația</w:t>
      </w:r>
      <w:proofErr w:type="spellEnd"/>
      <w:r w:rsidRPr="00653202">
        <w:rPr>
          <w:rFonts w:ascii="Arial" w:eastAsia="Times New Roman" w:hAnsi="Arial" w:cs="Times New Roman"/>
          <w:kern w:val="0"/>
        </w:rPr>
        <w:t xml:space="preserve"> </w:t>
      </w:r>
      <w:proofErr w:type="spellStart"/>
      <w:r w:rsidRPr="00653202">
        <w:rPr>
          <w:rFonts w:ascii="Arial" w:eastAsia="Times New Roman" w:hAnsi="Arial" w:cs="Times New Roman"/>
          <w:kern w:val="0"/>
        </w:rPr>
        <w:t>aplicabilă</w:t>
      </w:r>
      <w:proofErr w:type="spellEnd"/>
      <w:r w:rsidRPr="00653202">
        <w:rPr>
          <w:rFonts w:ascii="Arial" w:eastAsia="Times New Roman" w:hAnsi="Arial" w:cs="Times New Roman"/>
          <w:kern w:val="0"/>
        </w:rPr>
        <w:t>.</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(3) Mandatul auditorului extern este de 3 ani, reînnoibil o singură dată consecutiv. Schimbarea auditorului extern se decide de Adunarea Generală.</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(4) Raportul de audit se prezintă Adunării Generale odată cu situațiile financiare anuale și cu raportul Comisiei de Cenzori.</w:t>
      </w:r>
    </w:p>
    <w:p w:rsidR="00653202" w:rsidRPr="00653202" w:rsidRDefault="00653202" w:rsidP="00653202">
      <w:pPr>
        <w:spacing w:after="120" w:line="276" w:lineRule="auto"/>
        <w:rPr>
          <w:rFonts w:ascii="Arial" w:eastAsia="Times New Roman" w:hAnsi="Arial" w:cs="Times New Roman"/>
          <w:kern w:val="0"/>
          <w:lang w:val="it-IT"/>
        </w:rPr>
      </w:pPr>
      <w:r w:rsidRPr="00653202">
        <w:rPr>
          <w:rFonts w:ascii="Arial" w:eastAsia="Times New Roman" w:hAnsi="Arial" w:cs="Times New Roman"/>
          <w:kern w:val="0"/>
          <w:lang w:val="it-IT"/>
        </w:rPr>
        <w:t>(5) Auditul extern nu se substituie controlului financiar exercitat de Comisia de Cenzori în conformitate cu art. 29 din prezentul Statut și nici controlului gestiunii fondurilor publice prevăzut la art. 10 din Convenție.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36 — Patrimoniul</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GECT poate dobândi, administra și înstrăina bunuri mobile și imobile necesare îndeplinirii obiectivelor sale.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Înstrăinarea bunurilor imobile se aprobă de Consiliul de Administrare.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pt-BR"/>
        </w:rPr>
      </w:pPr>
      <w:r w:rsidRPr="00653202">
        <w:rPr>
          <w:rFonts w:ascii="Times New Roman" w:eastAsia="Times New Roman" w:hAnsi="Times New Roman" w:cs="Times New Roman"/>
          <w:b/>
          <w:kern w:val="0"/>
          <w:sz w:val="24"/>
          <w:szCs w:val="24"/>
          <w:lang w:val="pt-BR"/>
        </w:rPr>
        <w:t xml:space="preserve">TITLUL V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RĂSPUNDEREA MEMBRILOR ȘI A GECT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37 - Răspunderea GECT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GECT răspunde pentru toate datoriile sale cu întregul patrimoniu, indiferent de natura obligației.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Membrii GECT au răspundere subsidiară și nelimitată față de creditorii GECT, proporțional cu contribuția financiară achitată pe ultimii 3 ani, în conformitate cu art. 12 alin. (2) din Regulamentul (CE) nr. 1082/2006 și art. 13 din Convenție.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(3) În cazul în care legislația națională a cel puțin unui membru limitează răspunderea acestuia, ceilalți membri pot solicita limitarea propriei răspunderi prin modificarea Convenției, în conformitate cu art. 12 alin. (2a) din Regulament.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38 — Răspunderea subsidiară a membrilor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În cazul în care patrimoniul GECT este insuficient pentru acoperirea datoriilor, membrii răspund subsidiar, proporțional cu contribuția lor la bugetul GECT pe ultimii 3 ani.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În conformitate cu prevederile art. 12 alin. (2) din Regulament (CE) nr. 1082/2006, în cazul în care legislația națională a unui membru limitează sau exclude răspunderea acestuia, ceilalți membri pot, de asemenea, să își limiteze răspunderea în prezentul Statut.</w:t>
      </w:r>
    </w:p>
    <w:p w:rsidR="00653202" w:rsidRPr="00653202" w:rsidRDefault="00653202" w:rsidP="00653202">
      <w:pPr>
        <w:spacing w:after="0" w:line="240" w:lineRule="auto"/>
        <w:jc w:val="both"/>
        <w:rPr>
          <w:rFonts w:ascii="Times New Roman" w:eastAsia="Times New Roman" w:hAnsi="Times New Roman" w:cs="Times New Roman"/>
          <w:kern w:val="0"/>
          <w:sz w:val="24"/>
          <w:szCs w:val="24"/>
        </w:rPr>
      </w:pPr>
      <w:r w:rsidRPr="00653202">
        <w:rPr>
          <w:rFonts w:ascii="Times New Roman" w:eastAsia="Times New Roman" w:hAnsi="Times New Roman" w:cs="Times New Roman"/>
          <w:kern w:val="0"/>
          <w:sz w:val="24"/>
          <w:szCs w:val="24"/>
        </w:rPr>
        <w:t xml:space="preserve">(3) </w:t>
      </w:r>
      <w:proofErr w:type="spellStart"/>
      <w:r w:rsidRPr="00653202">
        <w:rPr>
          <w:rFonts w:ascii="Times New Roman" w:eastAsia="Times New Roman" w:hAnsi="Times New Roman" w:cs="Times New Roman"/>
          <w:kern w:val="0"/>
          <w:sz w:val="24"/>
          <w:szCs w:val="24"/>
        </w:rPr>
        <w:t>Membrul</w:t>
      </w:r>
      <w:proofErr w:type="spellEnd"/>
      <w:r w:rsidRPr="00653202">
        <w:rPr>
          <w:rFonts w:ascii="Times New Roman" w:eastAsia="Times New Roman" w:hAnsi="Times New Roman" w:cs="Times New Roman"/>
          <w:kern w:val="0"/>
          <w:sz w:val="24"/>
          <w:szCs w:val="24"/>
        </w:rPr>
        <w:t xml:space="preserve"> care s-a </w:t>
      </w:r>
      <w:proofErr w:type="spellStart"/>
      <w:r w:rsidRPr="00653202">
        <w:rPr>
          <w:rFonts w:ascii="Times New Roman" w:eastAsia="Times New Roman" w:hAnsi="Times New Roman" w:cs="Times New Roman"/>
          <w:kern w:val="0"/>
          <w:sz w:val="24"/>
          <w:szCs w:val="24"/>
        </w:rPr>
        <w:t>retras</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sau</w:t>
      </w:r>
      <w:proofErr w:type="spellEnd"/>
      <w:r w:rsidRPr="00653202">
        <w:rPr>
          <w:rFonts w:ascii="Times New Roman" w:eastAsia="Times New Roman" w:hAnsi="Times New Roman" w:cs="Times New Roman"/>
          <w:kern w:val="0"/>
          <w:sz w:val="24"/>
          <w:szCs w:val="24"/>
        </w:rPr>
        <w:t xml:space="preserve"> a </w:t>
      </w:r>
      <w:proofErr w:type="spellStart"/>
      <w:r w:rsidRPr="00653202">
        <w:rPr>
          <w:rFonts w:ascii="Times New Roman" w:eastAsia="Times New Roman" w:hAnsi="Times New Roman" w:cs="Times New Roman"/>
          <w:kern w:val="0"/>
          <w:sz w:val="24"/>
          <w:szCs w:val="24"/>
        </w:rPr>
        <w:t>fost</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exclus</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rămâne</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răspunzător</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pentru</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obligațiile</w:t>
      </w:r>
      <w:proofErr w:type="spellEnd"/>
      <w:r w:rsidRPr="00653202">
        <w:rPr>
          <w:rFonts w:ascii="Times New Roman" w:eastAsia="Times New Roman" w:hAnsi="Times New Roman" w:cs="Times New Roman"/>
          <w:kern w:val="0"/>
          <w:sz w:val="24"/>
          <w:szCs w:val="24"/>
        </w:rPr>
        <w:t xml:space="preserve"> GECT </w:t>
      </w:r>
      <w:proofErr w:type="spellStart"/>
      <w:r w:rsidRPr="00653202">
        <w:rPr>
          <w:rFonts w:ascii="Times New Roman" w:eastAsia="Times New Roman" w:hAnsi="Times New Roman" w:cs="Times New Roman"/>
          <w:kern w:val="0"/>
          <w:sz w:val="24"/>
          <w:szCs w:val="24"/>
        </w:rPr>
        <w:t>născute</w:t>
      </w:r>
      <w:proofErr w:type="spellEnd"/>
      <w:r w:rsidRPr="00653202">
        <w:rPr>
          <w:rFonts w:ascii="Times New Roman" w:eastAsia="Times New Roman" w:hAnsi="Times New Roman" w:cs="Times New Roman"/>
          <w:kern w:val="0"/>
          <w:sz w:val="24"/>
          <w:szCs w:val="24"/>
        </w:rPr>
        <w:t xml:space="preserve"> anterior </w:t>
      </w:r>
      <w:proofErr w:type="spellStart"/>
      <w:r w:rsidRPr="00653202">
        <w:rPr>
          <w:rFonts w:ascii="Times New Roman" w:eastAsia="Times New Roman" w:hAnsi="Times New Roman" w:cs="Times New Roman"/>
          <w:kern w:val="0"/>
          <w:sz w:val="24"/>
          <w:szCs w:val="24"/>
        </w:rPr>
        <w:t>datei</w:t>
      </w:r>
      <w:proofErr w:type="spellEnd"/>
      <w:r w:rsidRPr="00653202">
        <w:rPr>
          <w:rFonts w:ascii="Times New Roman" w:eastAsia="Times New Roman" w:hAnsi="Times New Roman" w:cs="Times New Roman"/>
          <w:kern w:val="0"/>
          <w:sz w:val="24"/>
          <w:szCs w:val="24"/>
        </w:rPr>
        <w:t xml:space="preserve"> </w:t>
      </w:r>
      <w:proofErr w:type="spellStart"/>
      <w:r w:rsidRPr="00653202">
        <w:rPr>
          <w:rFonts w:ascii="Times New Roman" w:eastAsia="Times New Roman" w:hAnsi="Times New Roman" w:cs="Times New Roman"/>
          <w:kern w:val="0"/>
          <w:sz w:val="24"/>
          <w:szCs w:val="24"/>
        </w:rPr>
        <w:t>efective</w:t>
      </w:r>
      <w:proofErr w:type="spellEnd"/>
      <w:r w:rsidRPr="00653202">
        <w:rPr>
          <w:rFonts w:ascii="Times New Roman" w:eastAsia="Times New Roman" w:hAnsi="Times New Roman" w:cs="Times New Roman"/>
          <w:kern w:val="0"/>
          <w:sz w:val="24"/>
          <w:szCs w:val="24"/>
        </w:rPr>
        <w:t xml:space="preserve"> a </w:t>
      </w:r>
      <w:proofErr w:type="spellStart"/>
      <w:r w:rsidRPr="00653202">
        <w:rPr>
          <w:rFonts w:ascii="Times New Roman" w:eastAsia="Times New Roman" w:hAnsi="Times New Roman" w:cs="Times New Roman"/>
          <w:kern w:val="0"/>
          <w:sz w:val="24"/>
          <w:szCs w:val="24"/>
        </w:rPr>
        <w:t>retragerii</w:t>
      </w:r>
      <w:proofErr w:type="spellEnd"/>
      <w:r w:rsidRPr="00653202">
        <w:rPr>
          <w:rFonts w:ascii="Times New Roman" w:eastAsia="Times New Roman" w:hAnsi="Times New Roman" w:cs="Times New Roman"/>
          <w:kern w:val="0"/>
          <w:sz w:val="24"/>
          <w:szCs w:val="24"/>
        </w:rPr>
        <w:t>/</w:t>
      </w:r>
      <w:proofErr w:type="spellStart"/>
      <w:r w:rsidRPr="00653202">
        <w:rPr>
          <w:rFonts w:ascii="Times New Roman" w:eastAsia="Times New Roman" w:hAnsi="Times New Roman" w:cs="Times New Roman"/>
          <w:kern w:val="0"/>
          <w:sz w:val="24"/>
          <w:szCs w:val="24"/>
        </w:rPr>
        <w:t>excluderii</w:t>
      </w:r>
      <w:proofErr w:type="spellEnd"/>
      <w:r w:rsidRPr="00653202">
        <w:rPr>
          <w:rFonts w:ascii="Times New Roman" w:eastAsia="Times New Roman" w:hAnsi="Times New Roman" w:cs="Times New Roman"/>
          <w:kern w:val="0"/>
          <w:sz w:val="24"/>
          <w:szCs w:val="24"/>
        </w:rPr>
        <w:t>.</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lastRenderedPageBreak/>
        <w:t>TITLUL VI</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PERSONALUL GECT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39 — Regimul juridic al personalului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Personalul GECT este angajat în baza contractelor individuale de muncă de drept privat, încheiate în conformitate cu Codul Muncii din România.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Pentru personalul care își desfășoară activitatea în birourile operaționale din Republica Moldova, Ucraina sau Bulgaria, contractele de muncă pot fi supuse legislației muncii a țării în care se desfășoară activitatea, cu respectarea Regulamentului Roma 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Recrutarea personalului se face pe criterii de competență profesională, cu asigurarea unei reprezentări echilibrate a naționalităților din țările membre.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(4) Statul de funcții și politica salarială se aprobă de Consiliul de Administrare, la propunerea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(5) Prevederile prezentului articol se completează cu dispozițiile art. 14 din Convenție, care stabilesc principiul angajatorului unic, jurisdicția legislației muncii aplicabile și delegarea gestiunii personalului.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Organizarea și atribuțiile personalului se stabilesc, după caz, prin:</w:t>
      </w:r>
    </w:p>
    <w:p w:rsidR="00653202" w:rsidRPr="00653202" w:rsidRDefault="00653202" w:rsidP="00653202">
      <w:pPr>
        <w:numPr>
          <w:ilvl w:val="0"/>
          <w:numId w:val="27"/>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Regulamentul de organizare și funcționare al Secretariatului General — conform art. 27;</w:t>
      </w:r>
    </w:p>
    <w:p w:rsidR="00653202" w:rsidRPr="00653202" w:rsidRDefault="00653202" w:rsidP="00653202">
      <w:pPr>
        <w:numPr>
          <w:ilvl w:val="0"/>
          <w:numId w:val="27"/>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Regulamentul privind funcționarea Secretariatelor Naționale — conform art. 26 alin. (7);</w:t>
      </w:r>
    </w:p>
    <w:p w:rsidR="00653202" w:rsidRPr="00653202" w:rsidRDefault="00653202" w:rsidP="00653202">
      <w:pPr>
        <w:numPr>
          <w:ilvl w:val="0"/>
          <w:numId w:val="27"/>
        </w:numPr>
        <w:spacing w:after="60" w:line="276" w:lineRule="auto"/>
        <w:contextualSpacing/>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Regulamentul privind procedurile de recrutare — aprobat de Consiliul de Administrare la propunerea Directorului.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TITLUL VII </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MODIFICAREA STATUTULUI, DIZOLVAREA ȘI LICHIDAREA</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Capitolul XIII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Modificarea Statutului</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40 — Procedura de modificare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Modificările substanțiale ale Statutului se adoptă de Adunarea Generală cu unanimitatea tuturor membrilor GECT. Sunt considerate substanțiale modificările care determină, direct sau indirect, o modificare a Convenției, în conformitate cu prevederile art. 4 alin. (6) din Regulamentul (CE) nr. 1082/2006.</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Modificările nesubstanțiale ale Statutului se adoptă de Adunarea Generală cu majoritate de două treimi a membrilor prezenți sau reprezentați.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Calificarea unei modificări ca substanțială sau nesubstanțială este decisă de Consiliul de Administrare, cu drept de contestație la Adunarea Generală.</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Capitolul XIV</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Dizolvarea și Lichidarea</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41 — Dizolvarea voluntară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GECT poate fi dizolvată prin hotărârea Adunării Generale, adoptată cu majoritate de cel puțin două treimi a membrilor sau reprezentați, cu condiția ca votul favorabil să provină din membrii din cel puțin trei țări.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Hotărârea de dizolvare stabilește data efectivă a dizolvării și procedura de lichidare.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42 — Dizolvarea de drept sau judiciară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lastRenderedPageBreak/>
        <w:t>(1) GECT se dizolvă de drept dacă numărul membrilor scade sub pragul minim de 2 membri din cel puțin două țări diferite, dintre care cel puțin una este stat membru UE.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GECT poate fi dizolvată prin hotărâre judecătorească, în conformitate cu prevederile art. 14 din Regulamentul (CE) nr. 1082/2006.</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43 — Lichidarea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În caz de dizolvare, Adunarea Generală numește unul sau mai mulți lichidatori.</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Lichidarea se desfășoară în conformitate cu legislația română privind lichidarea persoanelor juridice nonprofit.</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(3) Activele rămase după satisfacerea pretențiilor creditorilor se distribuie membrilor proporțional cu contribuțiile achitate pe întreaga durată a calității de membru, sau se transferă către o entitate cu obiective similare, după cum decide Adunarea Generală.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Directorul (sau lichidatorul) notifică dizolvarea Comitetului Regiunilor și Oficiului pentru Publicații al UE în termen de 10 zile lucrătoare.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TITLUL VIII </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SOLUȚIONAREA LITIGIILOR</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44 — Procedura de soluționare a litigiilor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Orice litigiu între GECT și membrii săi, sau între membri în legătură cu activitatea GECT, se soluționează parcurgând următoarele etape succesive: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Etapa întâi — Negociere directă: părțile se obligă să depună eforturi de bună-credință pentru soluționarea amiabilă, într-un termen de 30 de zile de la notificarea litigiului;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Etapa doi — Mediere: în cazul eșecului negocierii, litigiul este supus medierii, conduse de Președintele GECT sau de o persoană desemnată de Biroul Executiv, într-un termen de 60 de zile;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Etapa trei — Jurisdicție: în cazul eșecului medierii, litigiul se soluționează de instanțele judecătorești competente de la sediul GECT (România).</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Procedura prevăzută la alin. (1) nu aduce atingere competenței instanțelor stabilite prin legislația UE sau prin normele specifice ale finanțărilor europene.</w:t>
      </w:r>
    </w:p>
    <w:p w:rsidR="00653202" w:rsidRPr="00653202" w:rsidRDefault="00653202" w:rsidP="00653202">
      <w:pPr>
        <w:spacing w:after="0" w:line="240" w:lineRule="auto"/>
        <w:jc w:val="center"/>
        <w:rPr>
          <w:rFonts w:ascii="Times New Roman" w:eastAsia="Times New Roman" w:hAnsi="Times New Roman" w:cs="Times New Roman"/>
          <w:b/>
          <w:kern w:val="0"/>
          <w:sz w:val="24"/>
          <w:szCs w:val="24"/>
          <w:lang w:val="it-IT"/>
        </w:rPr>
      </w:pPr>
      <w:r w:rsidRPr="00653202">
        <w:rPr>
          <w:rFonts w:ascii="Times New Roman" w:eastAsia="Times New Roman" w:hAnsi="Times New Roman" w:cs="Times New Roman"/>
          <w:b/>
          <w:kern w:val="0"/>
          <w:sz w:val="24"/>
          <w:szCs w:val="24"/>
          <w:lang w:val="it-IT"/>
        </w:rPr>
        <w:t xml:space="preserve">TITLUL IX </w:t>
      </w:r>
    </w:p>
    <w:p w:rsidR="00653202" w:rsidRPr="00653202" w:rsidRDefault="00653202" w:rsidP="00653202">
      <w:pPr>
        <w:spacing w:after="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DISPOZIȚII FINALE ȘI TRANZITORII</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45 — Mandatul tranzitoriu al primului Director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Primul Director al GECT, desemnat de Adunarea Generală de Constituire în condițiile art. 43, primește mandat tranzitoriu pentru a întreprinde, în numele și pe seama membrilor fondatori, toate demersurile necesare dobândirii personalității juridice a GECT. Conținutul mandatului tranzitoriu, inclusiv enumerarea atribuțiilor și limitele exercitării acestuia, se stabilesc prin hotărârea Adunării Generale de Constituire.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(2) Până la dobândirea personalității juridice, Directorul acționează ca mandatar al membrilor fondatori în temeiul dreptului civil comun. Actele juridice încheiate de Director în limitele mandatului tranzitoriu sunt preluate de GECT de la data dobândirii personalității juridice, în conformitate cu principiul ratificării actelor juridice pre-constitutive.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 xml:space="preserve">(3) Directorul nu poate asuma, în această perioadă, obligații financiare în numele GECT, cu excepția cheltuielilor strict necesare procedurii de constituire (taxe notariale, traduceri autorizate, </w:t>
      </w:r>
      <w:r w:rsidRPr="00653202">
        <w:rPr>
          <w:rFonts w:ascii="Times New Roman" w:eastAsia="Times New Roman" w:hAnsi="Times New Roman" w:cs="Times New Roman"/>
          <w:kern w:val="0"/>
          <w:sz w:val="24"/>
          <w:szCs w:val="24"/>
          <w:lang w:val="it-IT"/>
        </w:rPr>
        <w:lastRenderedPageBreak/>
        <w:t>deplasări, comunicări oficiale). Cheltuielile efectuate sunt suportate provizoriu din avansurile contribuțiilor membrilor fondatori și sunt ratificate de Consiliul de Administrare la prima ședință.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Mandatul tranzitoriu încetează la data primei ședințe ordinare a Consiliului de Administrare, moment de la care Directorul exercită atribuțiile depline prevăzute la art. 24 din prezentul Statut.</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b/>
          <w:kern w:val="0"/>
          <w:sz w:val="24"/>
          <w:szCs w:val="24"/>
          <w:lang w:val="it-IT"/>
        </w:rPr>
        <w:t>Articolul 46 — Primele desemnări și constituirea organelord de conducere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(1) Adunarea Generală de Constituire desemnează, prin vot deschis, persoanele pentru următoarele funcții: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a) Președintele GECT, pentru primul mandat;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Directorul GECT;</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Membrii Consiliului de Administrare;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Membrii Comisiei de Cenzori;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e) Membrii Comitetului de Evaluare și Selecție — câte un membru propus de structurile de reprezentare națională provizorie ale fiecărui stat fondator.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Condițiile în care desemnările produc efecte, inclusiv mandatul tranzitoriu al Directorului prevăzut la art. 45, se stabilesc prin hotărârea Adunării Generale de Constituire.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pt-BR"/>
        </w:rPr>
        <w:t xml:space="preserve">(3) În cazul în care, ca urmare a procedurii de aprobare prevăzute la art. 16 din Convenție, se impune convocarea unei noi Adunări Generale pentru re-aprobarea documentelor constitutive, aceasta confirmă, ajustează sau înlocuiește desemnările de la alin. </w:t>
      </w:r>
      <w:r w:rsidRPr="00653202">
        <w:rPr>
          <w:rFonts w:ascii="Times New Roman" w:eastAsia="Times New Roman" w:hAnsi="Times New Roman" w:cs="Times New Roman"/>
          <w:kern w:val="0"/>
          <w:sz w:val="24"/>
          <w:szCs w:val="24"/>
          <w:lang w:val="it-IT"/>
        </w:rPr>
        <w:t>(1), ținând seama de componența finală a membrilor fondatori. Până la data eventualei confirmări, desemnările inițiale rămân valabile.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(4) Consiliul de Administrare, la prima ședință după dobândirea personalității juridice, alege cei 4 Vicepreședinți și constituie Biroul Executiv, în termen de 30 de zile de la dobândirea personalității juridice.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(5) Colegiile Naționale se constituie în termen de 60 de zile de la dobândirea personalității juridice, sub coordonarea Vicepreședinților.</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it-IT"/>
        </w:rPr>
      </w:pPr>
      <w:r w:rsidRPr="00653202">
        <w:rPr>
          <w:rFonts w:ascii="Times New Roman" w:eastAsia="Times New Roman" w:hAnsi="Times New Roman" w:cs="Times New Roman"/>
          <w:kern w:val="0"/>
          <w:sz w:val="24"/>
          <w:szCs w:val="24"/>
          <w:lang w:val="it-IT"/>
        </w:rPr>
        <w:t>(6) Secretarii Naționali sunt numiți de Director, cu avizul Vicepreședinților, în termen de 90 de zile de la dobândirea personalității juridice.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47 — Regulamente interne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Consiliul de Administrare adoptă, în termen de 6 luni de la dobândirea personalității juridice, următoarele regulamente: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a) Regulamentul de organizare și funcționare a Secretariatului General;</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b) Regulamentul privind funcționarea Secretariatelor Naționale;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c) Regulamentul privind procedurile financiare și de achiziții;</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d) Regulamentul privind funcționarea Colegiilor Naționale;</w:t>
      </w:r>
    </w:p>
    <w:p w:rsidR="00653202" w:rsidRPr="00653202" w:rsidRDefault="00653202" w:rsidP="00653202">
      <w:pPr>
        <w:spacing w:after="0" w:line="240" w:lineRule="auto"/>
        <w:ind w:left="567"/>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e) Regulamentul privind managementul proiectelor.</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48 — Corespondența și comunicare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(1) Comunicările oficiale între GECT și membrii săi se transmit în scris, inclusiv prin mijloace electronice (email securizat, platformă electronică dedicată).</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(2) Fiecare membru comunică GECT o adresă de corespondență și o adresă de email funcțională.</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49 — Legislația aplicabilă aspectelor neacoperite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lastRenderedPageBreak/>
        <w:t>Pentru orice aspecte nereglementate de prezentul Statut, se aplică, în ordine: Regulamentul (CE) nr. 1082/2006 (modificat), prevederile Convenției, legislația României ca stat de sediu, și principiile generale ale dreptului Uniunii Europene.</w:t>
      </w:r>
    </w:p>
    <w:p w:rsidR="00653202" w:rsidRPr="00653202" w:rsidRDefault="00653202" w:rsidP="00653202">
      <w:pPr>
        <w:spacing w:before="200" w:after="80" w:line="240" w:lineRule="auto"/>
        <w:jc w:val="center"/>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b/>
          <w:kern w:val="0"/>
          <w:sz w:val="24"/>
          <w:szCs w:val="24"/>
          <w:lang w:val="pt-BR"/>
        </w:rPr>
        <w:t>Articolul 50 — Intrarea în vigoare</w:t>
      </w:r>
    </w:p>
    <w:p w:rsidR="00653202" w:rsidRPr="00653202" w:rsidRDefault="00653202" w:rsidP="00653202">
      <w:pPr>
        <w:spacing w:after="0" w:line="240" w:lineRule="auto"/>
        <w:jc w:val="both"/>
        <w:rPr>
          <w:rFonts w:ascii="Times New Roman" w:eastAsia="Times New Roman" w:hAnsi="Times New Roman" w:cs="Times New Roman"/>
          <w:kern w:val="0"/>
          <w:sz w:val="24"/>
          <w:szCs w:val="24"/>
          <w:lang w:val="pt-BR"/>
        </w:rPr>
      </w:pPr>
      <w:r w:rsidRPr="00653202">
        <w:rPr>
          <w:rFonts w:ascii="Times New Roman" w:eastAsia="Times New Roman" w:hAnsi="Times New Roman" w:cs="Times New Roman"/>
          <w:kern w:val="0"/>
          <w:sz w:val="24"/>
          <w:szCs w:val="24"/>
          <w:lang w:val="pt-BR"/>
        </w:rPr>
        <w:t>Prezentul Statut intră în vigoare la data înscrierii în Registrul GECT, efectuată de autoritatea de notificare în conformitate cu art. 10 din OUG nr. 127/2007.</w:t>
      </w:r>
    </w:p>
    <w:p w:rsidR="00653202" w:rsidRDefault="00653202" w:rsidP="00653202">
      <w:pPr>
        <w:jc w:val="center"/>
        <w:rPr>
          <w:rFonts w:ascii="Times New Roman" w:eastAsia="Times New Roman" w:hAnsi="Times New Roman" w:cs="Times New Roman"/>
          <w:kern w:val="0"/>
          <w:sz w:val="4"/>
          <w:szCs w:val="24"/>
          <w:lang w:val="pt-BR"/>
        </w:rPr>
      </w:pPr>
      <w:r w:rsidRPr="00653202">
        <w:rPr>
          <w:rFonts w:ascii="Times New Roman" w:eastAsia="Times New Roman" w:hAnsi="Times New Roman" w:cs="Times New Roman"/>
          <w:kern w:val="0"/>
          <w:sz w:val="4"/>
          <w:szCs w:val="24"/>
          <w:lang w:val="pt-BR"/>
        </w:rPr>
        <w:t xml:space="preserve"> </w:t>
      </w:r>
    </w:p>
    <w:p w:rsidR="00653202" w:rsidRDefault="00653202" w:rsidP="00653202">
      <w:pPr>
        <w:jc w:val="center"/>
        <w:rPr>
          <w:rFonts w:ascii="Times New Roman" w:eastAsia="Times New Roman" w:hAnsi="Times New Roman" w:cs="Times New Roman"/>
          <w:kern w:val="0"/>
          <w:sz w:val="4"/>
          <w:szCs w:val="24"/>
          <w:lang w:val="pt-BR"/>
        </w:rPr>
      </w:pPr>
    </w:p>
    <w:p w:rsidR="00653202" w:rsidRDefault="00653202" w:rsidP="00653202">
      <w:pPr>
        <w:jc w:val="center"/>
        <w:rPr>
          <w:rFonts w:ascii="Times New Roman" w:eastAsia="Times New Roman" w:hAnsi="Times New Roman" w:cs="Times New Roman"/>
          <w:i/>
          <w:kern w:val="0"/>
          <w:lang w:val="it-IT"/>
        </w:rPr>
      </w:pPr>
    </w:p>
    <w:p w:rsidR="005612BD" w:rsidRPr="00653202" w:rsidRDefault="00653202" w:rsidP="00653202">
      <w:pPr>
        <w:jc w:val="center"/>
        <w:rPr>
          <w:rFonts w:ascii="Times New Roman" w:eastAsia="Times New Roman" w:hAnsi="Times New Roman" w:cs="Times New Roman"/>
          <w:kern w:val="0"/>
          <w:lang w:val="it-IT"/>
        </w:rPr>
      </w:pPr>
      <w:r w:rsidRPr="00653202">
        <w:rPr>
          <w:rFonts w:ascii="Times New Roman" w:eastAsia="Times New Roman" w:hAnsi="Times New Roman" w:cs="Times New Roman"/>
          <w:i/>
          <w:kern w:val="0"/>
          <w:lang w:val="it-IT"/>
        </w:rPr>
        <w:t>Textul Statutului adoptat la București, Palatul Parlamentului României, la data de 19 martie 2026.</w:t>
      </w:r>
    </w:p>
    <w:sectPr w:rsidR="005612BD" w:rsidRPr="00653202" w:rsidSect="00AD69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B12693A"/>
    <w:lvl w:ilvl="0">
      <w:start w:val="1"/>
      <w:numFmt w:val="decimal"/>
      <w:pStyle w:val="Listanumerotat31"/>
      <w:lvlText w:val="%1."/>
      <w:lvlJc w:val="left"/>
      <w:pPr>
        <w:tabs>
          <w:tab w:val="num" w:pos="1080"/>
        </w:tabs>
        <w:ind w:left="1080" w:hanging="360"/>
      </w:pPr>
    </w:lvl>
  </w:abstractNum>
  <w:abstractNum w:abstractNumId="1">
    <w:nsid w:val="FFFFFF7F"/>
    <w:multiLevelType w:val="singleLevel"/>
    <w:tmpl w:val="38441652"/>
    <w:lvl w:ilvl="0">
      <w:start w:val="1"/>
      <w:numFmt w:val="decimal"/>
      <w:pStyle w:val="Listanumerotat21"/>
      <w:lvlText w:val="%1."/>
      <w:lvlJc w:val="left"/>
      <w:pPr>
        <w:tabs>
          <w:tab w:val="num" w:pos="720"/>
        </w:tabs>
        <w:ind w:left="720" w:hanging="360"/>
      </w:pPr>
    </w:lvl>
  </w:abstractNum>
  <w:abstractNum w:abstractNumId="2">
    <w:nsid w:val="FFFFFF82"/>
    <w:multiLevelType w:val="singleLevel"/>
    <w:tmpl w:val="F3EAFDEC"/>
    <w:lvl w:ilvl="0">
      <w:start w:val="1"/>
      <w:numFmt w:val="bullet"/>
      <w:pStyle w:val="Listacumarcatori31"/>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Listacumarcatori21"/>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Listnumerotat1"/>
      <w:lvlText w:val="%1."/>
      <w:lvlJc w:val="left"/>
      <w:pPr>
        <w:tabs>
          <w:tab w:val="num" w:pos="360"/>
        </w:tabs>
        <w:ind w:left="360" w:hanging="360"/>
      </w:pPr>
    </w:lvl>
  </w:abstractNum>
  <w:abstractNum w:abstractNumId="5">
    <w:nsid w:val="FFFFFF89"/>
    <w:multiLevelType w:val="singleLevel"/>
    <w:tmpl w:val="29761A62"/>
    <w:lvl w:ilvl="0">
      <w:start w:val="1"/>
      <w:numFmt w:val="bullet"/>
      <w:pStyle w:val="Listcumarcatori1"/>
      <w:lvlText w:val=""/>
      <w:lvlJc w:val="left"/>
      <w:pPr>
        <w:tabs>
          <w:tab w:val="num" w:pos="360"/>
        </w:tabs>
        <w:ind w:left="360" w:hanging="360"/>
      </w:pPr>
      <w:rPr>
        <w:rFonts w:ascii="Symbol" w:hAnsi="Symbol" w:hint="default"/>
      </w:rPr>
    </w:lvl>
  </w:abstractNum>
  <w:abstractNum w:abstractNumId="6">
    <w:nsid w:val="0000A991"/>
    <w:multiLevelType w:val="multilevel"/>
    <w:tmpl w:val="9E780F2E"/>
    <w:lvl w:ilvl="0">
      <w:start w:val="1"/>
      <w:numFmt w:val="bullet"/>
      <w:lvlText w:val=""/>
      <w:lvlJc w:val="left"/>
      <w:pPr>
        <w:ind w:left="720" w:hanging="480"/>
      </w:pPr>
      <w:rPr>
        <w:rFonts w:ascii="Wingdings" w:hAnsi="Wingdings" w:hint="default"/>
      </w:r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7">
    <w:nsid w:val="00A99721"/>
    <w:multiLevelType w:val="multilevel"/>
    <w:tmpl w:val="A7F4E3A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4876C8F"/>
    <w:multiLevelType w:val="hybridMultilevel"/>
    <w:tmpl w:val="CC98722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5750ACE"/>
    <w:multiLevelType w:val="hybridMultilevel"/>
    <w:tmpl w:val="5B1EF7A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6EB2231"/>
    <w:multiLevelType w:val="hybridMultilevel"/>
    <w:tmpl w:val="B840011E"/>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1834A6"/>
    <w:multiLevelType w:val="hybridMultilevel"/>
    <w:tmpl w:val="F3ACAB9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B93A2D"/>
    <w:multiLevelType w:val="hybridMultilevel"/>
    <w:tmpl w:val="1084F55A"/>
    <w:lvl w:ilvl="0" w:tplc="0418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11756C52"/>
    <w:multiLevelType w:val="hybridMultilevel"/>
    <w:tmpl w:val="AE42B376"/>
    <w:lvl w:ilvl="0" w:tplc="8A80F0BE">
      <w:start w:val="1"/>
      <w:numFmt w:val="bullet"/>
      <w:pStyle w:val="Listnumerotat"/>
      <w:lvlText w:val="-"/>
      <w:lvlJc w:val="left"/>
      <w:pPr>
        <w:ind w:left="1080" w:hanging="360"/>
      </w:pPr>
      <w:rPr>
        <w:rFonts w:ascii="Times New Roman" w:eastAsiaTheme="minorEastAsia" w:hAnsi="Times New Roman" w:cs="Times New Roman" w:hint="default"/>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E3935BA"/>
    <w:multiLevelType w:val="hybridMultilevel"/>
    <w:tmpl w:val="E200DF5E"/>
    <w:lvl w:ilvl="0" w:tplc="04090017">
      <w:start w:val="1"/>
      <w:numFmt w:val="lowerLetter"/>
      <w:pStyle w:val="Listanumerota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866AA9"/>
    <w:multiLevelType w:val="hybridMultilevel"/>
    <w:tmpl w:val="BBDECB58"/>
    <w:lvl w:ilvl="0" w:tplc="A0CE73E8">
      <w:start w:val="1"/>
      <w:numFmt w:val="decimal"/>
      <w:lvlText w:val="2.1.%1"/>
      <w:lvlJc w:val="left"/>
      <w:pPr>
        <w:ind w:left="1080" w:hanging="360"/>
      </w:pPr>
      <w:rPr>
        <w:rFonts w:hint="default"/>
        <w:lang w:val="it-I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887511"/>
    <w:multiLevelType w:val="hybridMultilevel"/>
    <w:tmpl w:val="BB786016"/>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F971A6"/>
    <w:multiLevelType w:val="multilevel"/>
    <w:tmpl w:val="6532852E"/>
    <w:lvl w:ilvl="0">
      <w:start w:val="2"/>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3C72300D"/>
    <w:multiLevelType w:val="hybridMultilevel"/>
    <w:tmpl w:val="3AB463DA"/>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DB5FC8"/>
    <w:multiLevelType w:val="hybridMultilevel"/>
    <w:tmpl w:val="81540E3A"/>
    <w:lvl w:ilvl="0" w:tplc="0418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1E23C90"/>
    <w:multiLevelType w:val="hybridMultilevel"/>
    <w:tmpl w:val="1B8ADF2A"/>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B677EE"/>
    <w:multiLevelType w:val="hybridMultilevel"/>
    <w:tmpl w:val="81981862"/>
    <w:lvl w:ilvl="0" w:tplc="A8AC5A24">
      <w:start w:val="1"/>
      <w:numFmt w:val="lowerLetter"/>
      <w:pStyle w:val="Listanumerotat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B7571AE"/>
    <w:multiLevelType w:val="hybridMultilevel"/>
    <w:tmpl w:val="01767410"/>
    <w:lvl w:ilvl="0" w:tplc="0418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5DC62C47"/>
    <w:multiLevelType w:val="hybridMultilevel"/>
    <w:tmpl w:val="D1D0B2CC"/>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5A702A"/>
    <w:multiLevelType w:val="multilevel"/>
    <w:tmpl w:val="3D6246B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F894B82"/>
    <w:multiLevelType w:val="hybridMultilevel"/>
    <w:tmpl w:val="223CBF34"/>
    <w:lvl w:ilvl="0" w:tplc="8A80F0BE">
      <w:start w:val="1"/>
      <w:numFmt w:val="bullet"/>
      <w:pStyle w:val="Listacumarcatori2"/>
      <w:lvlText w:val="-"/>
      <w:lvlJc w:val="left"/>
      <w:pPr>
        <w:ind w:left="1080" w:hanging="360"/>
      </w:pPr>
      <w:rPr>
        <w:rFonts w:ascii="Times New Roman" w:eastAsiaTheme="minorEastAsia" w:hAnsi="Times New Roman" w:cs="Times New Roman" w:hint="default"/>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FA203CA"/>
    <w:multiLevelType w:val="hybridMultilevel"/>
    <w:tmpl w:val="0B949480"/>
    <w:lvl w:ilvl="0" w:tplc="5F56E9B0">
      <w:start w:val="1"/>
      <w:numFmt w:val="bullet"/>
      <w:pStyle w:val="Listcumarcatori"/>
      <w:lvlText w:val="●"/>
      <w:lvlJc w:val="left"/>
      <w:pPr>
        <w:ind w:left="720" w:hanging="360"/>
      </w:pPr>
    </w:lvl>
    <w:lvl w:ilvl="1" w:tplc="B1EC3DA6">
      <w:start w:val="1"/>
      <w:numFmt w:val="bullet"/>
      <w:lvlText w:val="○"/>
      <w:lvlJc w:val="left"/>
      <w:pPr>
        <w:ind w:left="1440" w:hanging="360"/>
      </w:pPr>
    </w:lvl>
    <w:lvl w:ilvl="2" w:tplc="7D209C98">
      <w:start w:val="1"/>
      <w:numFmt w:val="bullet"/>
      <w:lvlText w:val="■"/>
      <w:lvlJc w:val="left"/>
      <w:pPr>
        <w:ind w:left="2160" w:hanging="360"/>
      </w:pPr>
    </w:lvl>
    <w:lvl w:ilvl="3" w:tplc="F642064E">
      <w:start w:val="1"/>
      <w:numFmt w:val="bullet"/>
      <w:lvlText w:val="●"/>
      <w:lvlJc w:val="left"/>
      <w:pPr>
        <w:ind w:left="2880" w:hanging="360"/>
      </w:pPr>
    </w:lvl>
    <w:lvl w:ilvl="4" w:tplc="35EC1734">
      <w:start w:val="1"/>
      <w:numFmt w:val="bullet"/>
      <w:lvlText w:val="○"/>
      <w:lvlJc w:val="left"/>
      <w:pPr>
        <w:ind w:left="3600" w:hanging="360"/>
      </w:pPr>
    </w:lvl>
    <w:lvl w:ilvl="5" w:tplc="95D464B8">
      <w:start w:val="1"/>
      <w:numFmt w:val="bullet"/>
      <w:lvlText w:val="■"/>
      <w:lvlJc w:val="left"/>
      <w:pPr>
        <w:ind w:left="4320" w:hanging="360"/>
      </w:pPr>
    </w:lvl>
    <w:lvl w:ilvl="6" w:tplc="6E5C3742">
      <w:start w:val="1"/>
      <w:numFmt w:val="bullet"/>
      <w:lvlText w:val="●"/>
      <w:lvlJc w:val="left"/>
      <w:pPr>
        <w:ind w:left="5040" w:hanging="360"/>
      </w:pPr>
    </w:lvl>
    <w:lvl w:ilvl="7" w:tplc="5B08C5D6">
      <w:start w:val="1"/>
      <w:numFmt w:val="bullet"/>
      <w:lvlText w:val="●"/>
      <w:lvlJc w:val="left"/>
      <w:pPr>
        <w:ind w:left="5760" w:hanging="360"/>
      </w:pPr>
    </w:lvl>
    <w:lvl w:ilvl="8" w:tplc="4628F24A">
      <w:start w:val="1"/>
      <w:numFmt w:val="bullet"/>
      <w:lvlText w:val="●"/>
      <w:lvlJc w:val="left"/>
      <w:pPr>
        <w:ind w:left="6480" w:hanging="360"/>
      </w:pPr>
    </w:lvl>
  </w:abstractNum>
  <w:abstractNum w:abstractNumId="27">
    <w:nsid w:val="6036346E"/>
    <w:multiLevelType w:val="multilevel"/>
    <w:tmpl w:val="3D6246B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18D26A5"/>
    <w:multiLevelType w:val="hybridMultilevel"/>
    <w:tmpl w:val="A36E61E6"/>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E81F78"/>
    <w:multiLevelType w:val="hybridMultilevel"/>
    <w:tmpl w:val="FD46FF96"/>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6A41FF"/>
    <w:multiLevelType w:val="hybridMultilevel"/>
    <w:tmpl w:val="332A233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FA309B"/>
    <w:multiLevelType w:val="hybridMultilevel"/>
    <w:tmpl w:val="BBF4FD94"/>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195A80"/>
    <w:multiLevelType w:val="hybridMultilevel"/>
    <w:tmpl w:val="8D602236"/>
    <w:lvl w:ilvl="0" w:tplc="E1B2262A">
      <w:start w:val="8"/>
      <w:numFmt w:val="bullet"/>
      <w:pStyle w:val="Listacumarcatori3"/>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num>
  <w:num w:numId="2">
    <w:abstractNumId w:val="25"/>
  </w:num>
  <w:num w:numId="3">
    <w:abstractNumId w:val="32"/>
  </w:num>
  <w:num w:numId="4">
    <w:abstractNumId w:val="13"/>
  </w:num>
  <w:num w:numId="5">
    <w:abstractNumId w:val="14"/>
  </w:num>
  <w:num w:numId="6">
    <w:abstractNumId w:val="21"/>
  </w:num>
  <w:num w:numId="7">
    <w:abstractNumId w:val="5"/>
  </w:num>
  <w:num w:numId="8">
    <w:abstractNumId w:val="3"/>
  </w:num>
  <w:num w:numId="9">
    <w:abstractNumId w:val="2"/>
  </w:num>
  <w:num w:numId="10">
    <w:abstractNumId w:val="4"/>
  </w:num>
  <w:num w:numId="11">
    <w:abstractNumId w:val="1"/>
  </w:num>
  <w:num w:numId="12">
    <w:abstractNumId w:val="0"/>
  </w:num>
  <w:num w:numId="13">
    <w:abstractNumId w:val="22"/>
  </w:num>
  <w:num w:numId="14">
    <w:abstractNumId w:val="28"/>
  </w:num>
  <w:num w:numId="15">
    <w:abstractNumId w:val="19"/>
  </w:num>
  <w:num w:numId="16">
    <w:abstractNumId w:val="8"/>
  </w:num>
  <w:num w:numId="17">
    <w:abstractNumId w:val="23"/>
  </w:num>
  <w:num w:numId="18">
    <w:abstractNumId w:val="12"/>
  </w:num>
  <w:num w:numId="19">
    <w:abstractNumId w:val="16"/>
  </w:num>
  <w:num w:numId="20">
    <w:abstractNumId w:val="20"/>
  </w:num>
  <w:num w:numId="21">
    <w:abstractNumId w:val="18"/>
  </w:num>
  <w:num w:numId="22">
    <w:abstractNumId w:val="9"/>
  </w:num>
  <w:num w:numId="23">
    <w:abstractNumId w:val="30"/>
  </w:num>
  <w:num w:numId="24">
    <w:abstractNumId w:val="11"/>
  </w:num>
  <w:num w:numId="25">
    <w:abstractNumId w:val="10"/>
  </w:num>
  <w:num w:numId="26">
    <w:abstractNumId w:val="29"/>
  </w:num>
  <w:num w:numId="27">
    <w:abstractNumId w:val="31"/>
  </w:num>
  <w:num w:numId="28">
    <w:abstractNumId w:val="6"/>
  </w:num>
  <w:num w:numId="29">
    <w:abstractNumId w:val="7"/>
  </w:num>
  <w:num w:numId="30">
    <w:abstractNumId w:val="15"/>
  </w:num>
  <w:num w:numId="31">
    <w:abstractNumId w:val="27"/>
  </w:num>
  <w:num w:numId="32">
    <w:abstractNumId w:val="17"/>
  </w:num>
  <w:num w:numId="33">
    <w:abstractNumId w:val="2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3202"/>
    <w:rsid w:val="000C55C0"/>
    <w:rsid w:val="005612BD"/>
    <w:rsid w:val="00653202"/>
    <w:rsid w:val="009C46BD"/>
    <w:rsid w:val="00A93406"/>
    <w:rsid w:val="00AD690C"/>
    <w:rsid w:val="00BA415A"/>
    <w:rsid w:val="00C80739"/>
    <w:rsid w:val="00D40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90C"/>
  </w:style>
  <w:style w:type="paragraph" w:styleId="Titlu1">
    <w:name w:val="heading 1"/>
    <w:basedOn w:val="Normal"/>
    <w:next w:val="Normal"/>
    <w:link w:val="Titlu1Caracter"/>
    <w:uiPriority w:val="9"/>
    <w:qFormat/>
    <w:rsid w:val="006532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6532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unhideWhenUsed/>
    <w:qFormat/>
    <w:rsid w:val="00653202"/>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653202"/>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653202"/>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65320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5320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5320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5320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53202"/>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rsid w:val="00653202"/>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rsid w:val="00653202"/>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653202"/>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653202"/>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65320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5320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5320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53202"/>
    <w:rPr>
      <w:rFonts w:eastAsiaTheme="majorEastAsia" w:cstheme="majorBidi"/>
      <w:color w:val="272727" w:themeColor="text1" w:themeTint="D8"/>
    </w:rPr>
  </w:style>
  <w:style w:type="paragraph" w:styleId="Titlu">
    <w:name w:val="Title"/>
    <w:basedOn w:val="Normal"/>
    <w:next w:val="Normal"/>
    <w:link w:val="TitluCaracter"/>
    <w:uiPriority w:val="10"/>
    <w:qFormat/>
    <w:rsid w:val="00653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5320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5320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5320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5320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53202"/>
    <w:rPr>
      <w:i/>
      <w:iCs/>
      <w:color w:val="404040" w:themeColor="text1" w:themeTint="BF"/>
    </w:rPr>
  </w:style>
  <w:style w:type="paragraph" w:styleId="Listparagraf">
    <w:name w:val="List Paragraph"/>
    <w:basedOn w:val="Normal"/>
    <w:uiPriority w:val="34"/>
    <w:qFormat/>
    <w:rsid w:val="00653202"/>
    <w:pPr>
      <w:ind w:left="720"/>
      <w:contextualSpacing/>
    </w:pPr>
  </w:style>
  <w:style w:type="character" w:styleId="Accentuareintens">
    <w:name w:val="Intense Emphasis"/>
    <w:basedOn w:val="Fontdeparagrafimplicit"/>
    <w:uiPriority w:val="21"/>
    <w:qFormat/>
    <w:rsid w:val="00653202"/>
    <w:rPr>
      <w:i/>
      <w:iCs/>
      <w:color w:val="0F4761" w:themeColor="accent1" w:themeShade="BF"/>
    </w:rPr>
  </w:style>
  <w:style w:type="paragraph" w:styleId="Citatintens">
    <w:name w:val="Intense Quote"/>
    <w:basedOn w:val="Normal"/>
    <w:next w:val="Normal"/>
    <w:link w:val="CitatintensCaracter"/>
    <w:uiPriority w:val="30"/>
    <w:qFormat/>
    <w:rsid w:val="006532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653202"/>
    <w:rPr>
      <w:i/>
      <w:iCs/>
      <w:color w:val="0F4761" w:themeColor="accent1" w:themeShade="BF"/>
    </w:rPr>
  </w:style>
  <w:style w:type="character" w:styleId="Referireintens">
    <w:name w:val="Intense Reference"/>
    <w:basedOn w:val="Fontdeparagrafimplicit"/>
    <w:uiPriority w:val="32"/>
    <w:qFormat/>
    <w:rsid w:val="00653202"/>
    <w:rPr>
      <w:b/>
      <w:bCs/>
      <w:smallCaps/>
      <w:color w:val="0F4761" w:themeColor="accent1" w:themeShade="BF"/>
      <w:spacing w:val="5"/>
    </w:rPr>
  </w:style>
  <w:style w:type="numbering" w:customStyle="1" w:styleId="FrListare1">
    <w:name w:val="Fără Listare1"/>
    <w:next w:val="FrListare"/>
    <w:uiPriority w:val="99"/>
    <w:semiHidden/>
    <w:unhideWhenUsed/>
    <w:rsid w:val="00653202"/>
  </w:style>
  <w:style w:type="paragraph" w:customStyle="1" w:styleId="Robust1">
    <w:name w:val="Robust1"/>
    <w:qFormat/>
    <w:rsid w:val="00653202"/>
    <w:pPr>
      <w:spacing w:after="0" w:line="240" w:lineRule="auto"/>
    </w:pPr>
    <w:rPr>
      <w:rFonts w:ascii="Times New Roman" w:eastAsia="Times New Roman" w:hAnsi="Times New Roman" w:cs="Times New Roman"/>
      <w:b/>
      <w:bCs/>
      <w:kern w:val="0"/>
      <w:sz w:val="24"/>
      <w:szCs w:val="24"/>
    </w:rPr>
  </w:style>
  <w:style w:type="character" w:styleId="Hyperlink">
    <w:name w:val="Hyperlink"/>
    <w:uiPriority w:val="99"/>
    <w:unhideWhenUsed/>
    <w:rsid w:val="00653202"/>
    <w:rPr>
      <w:color w:val="0563C1"/>
      <w:u w:val="single"/>
    </w:rPr>
  </w:style>
  <w:style w:type="character" w:styleId="Referinnotdesubsol">
    <w:name w:val="footnote reference"/>
    <w:uiPriority w:val="99"/>
    <w:semiHidden/>
    <w:unhideWhenUsed/>
    <w:rsid w:val="00653202"/>
    <w:rPr>
      <w:vertAlign w:val="superscript"/>
    </w:rPr>
  </w:style>
  <w:style w:type="paragraph" w:styleId="Textnotdesubsol">
    <w:name w:val="footnote text"/>
    <w:link w:val="TextnotdesubsolCaracter"/>
    <w:uiPriority w:val="99"/>
    <w:semiHidden/>
    <w:unhideWhenUsed/>
    <w:rsid w:val="00653202"/>
    <w:pPr>
      <w:spacing w:after="0" w:line="240" w:lineRule="auto"/>
    </w:pPr>
    <w:rPr>
      <w:rFonts w:ascii="Times New Roman" w:eastAsia="Times New Roman" w:hAnsi="Times New Roman" w:cs="Times New Roman"/>
      <w:kern w:val="0"/>
      <w:sz w:val="20"/>
      <w:szCs w:val="20"/>
    </w:rPr>
  </w:style>
  <w:style w:type="character" w:customStyle="1" w:styleId="TextnotdesubsolCaracter">
    <w:name w:val="Text notă de subsol Caracter"/>
    <w:basedOn w:val="Fontdeparagrafimplicit"/>
    <w:link w:val="Textnotdesubsol"/>
    <w:uiPriority w:val="99"/>
    <w:semiHidden/>
    <w:rsid w:val="00653202"/>
    <w:rPr>
      <w:rFonts w:ascii="Times New Roman" w:eastAsia="Times New Roman" w:hAnsi="Times New Roman" w:cs="Times New Roman"/>
      <w:kern w:val="0"/>
      <w:sz w:val="20"/>
      <w:szCs w:val="20"/>
    </w:rPr>
  </w:style>
  <w:style w:type="paragraph" w:styleId="Antet">
    <w:name w:val="header"/>
    <w:basedOn w:val="Normal"/>
    <w:link w:val="AntetCaracter"/>
    <w:uiPriority w:val="99"/>
    <w:unhideWhenUsed/>
    <w:rsid w:val="00653202"/>
    <w:pPr>
      <w:tabs>
        <w:tab w:val="center" w:pos="4680"/>
        <w:tab w:val="right" w:pos="9360"/>
      </w:tabs>
      <w:spacing w:after="0" w:line="240" w:lineRule="auto"/>
    </w:pPr>
    <w:rPr>
      <w:rFonts w:ascii="Arial" w:eastAsia="Arial" w:hAnsi="Arial" w:cs="Arial"/>
      <w:kern w:val="0"/>
    </w:rPr>
  </w:style>
  <w:style w:type="character" w:customStyle="1" w:styleId="AntetCaracter">
    <w:name w:val="Antet Caracter"/>
    <w:basedOn w:val="Fontdeparagrafimplicit"/>
    <w:link w:val="Antet"/>
    <w:uiPriority w:val="99"/>
    <w:rsid w:val="00653202"/>
    <w:rPr>
      <w:rFonts w:ascii="Arial" w:eastAsia="Arial" w:hAnsi="Arial" w:cs="Arial"/>
      <w:kern w:val="0"/>
    </w:rPr>
  </w:style>
  <w:style w:type="paragraph" w:styleId="Subsol">
    <w:name w:val="footer"/>
    <w:basedOn w:val="Normal"/>
    <w:link w:val="SubsolCaracter"/>
    <w:uiPriority w:val="99"/>
    <w:unhideWhenUsed/>
    <w:rsid w:val="00653202"/>
    <w:pPr>
      <w:tabs>
        <w:tab w:val="center" w:pos="4680"/>
        <w:tab w:val="right" w:pos="9360"/>
      </w:tabs>
      <w:spacing w:after="0" w:line="240" w:lineRule="auto"/>
    </w:pPr>
    <w:rPr>
      <w:rFonts w:ascii="Arial" w:eastAsia="Arial" w:hAnsi="Arial" w:cs="Arial"/>
      <w:kern w:val="0"/>
    </w:rPr>
  </w:style>
  <w:style w:type="character" w:customStyle="1" w:styleId="SubsolCaracter">
    <w:name w:val="Subsol Caracter"/>
    <w:basedOn w:val="Fontdeparagrafimplicit"/>
    <w:link w:val="Subsol"/>
    <w:uiPriority w:val="99"/>
    <w:rsid w:val="00653202"/>
    <w:rPr>
      <w:rFonts w:ascii="Arial" w:eastAsia="Arial" w:hAnsi="Arial" w:cs="Arial"/>
      <w:kern w:val="0"/>
    </w:rPr>
  </w:style>
  <w:style w:type="paragraph" w:customStyle="1" w:styleId="Frspaiere1">
    <w:name w:val="Fără spațiere1"/>
    <w:next w:val="Frspaiere"/>
    <w:uiPriority w:val="1"/>
    <w:qFormat/>
    <w:rsid w:val="00653202"/>
    <w:pPr>
      <w:spacing w:after="0" w:line="240" w:lineRule="auto"/>
    </w:pPr>
    <w:rPr>
      <w:rFonts w:eastAsia="Times New Roman"/>
      <w:kern w:val="0"/>
    </w:rPr>
  </w:style>
  <w:style w:type="paragraph" w:customStyle="1" w:styleId="Corptext1">
    <w:name w:val="Corp text1"/>
    <w:basedOn w:val="Normal"/>
    <w:next w:val="Corptext"/>
    <w:link w:val="CorptextCaracter"/>
    <w:uiPriority w:val="99"/>
    <w:unhideWhenUsed/>
    <w:rsid w:val="00653202"/>
    <w:pPr>
      <w:spacing w:after="120" w:line="276" w:lineRule="auto"/>
    </w:pPr>
    <w:rPr>
      <w:rFonts w:ascii="Arial" w:eastAsia="Times New Roman" w:hAnsi="Arial" w:cs="Times New Roman"/>
    </w:rPr>
  </w:style>
  <w:style w:type="character" w:customStyle="1" w:styleId="CorptextCaracter">
    <w:name w:val="Corp text Caracter"/>
    <w:basedOn w:val="Fontdeparagrafimplicit"/>
    <w:link w:val="Corptext1"/>
    <w:uiPriority w:val="99"/>
    <w:rsid w:val="00653202"/>
    <w:rPr>
      <w:rFonts w:ascii="Arial" w:eastAsia="Times New Roman" w:hAnsi="Arial" w:cs="Times New Roman"/>
      <w:sz w:val="22"/>
      <w:szCs w:val="22"/>
    </w:rPr>
  </w:style>
  <w:style w:type="paragraph" w:customStyle="1" w:styleId="Corptext21">
    <w:name w:val="Corp text 21"/>
    <w:basedOn w:val="Normal"/>
    <w:next w:val="Corptext2"/>
    <w:link w:val="Corptext2Caracter"/>
    <w:uiPriority w:val="99"/>
    <w:unhideWhenUsed/>
    <w:rsid w:val="00653202"/>
    <w:pPr>
      <w:spacing w:after="120" w:line="480" w:lineRule="auto"/>
    </w:pPr>
    <w:rPr>
      <w:rFonts w:ascii="Arial" w:eastAsia="Times New Roman" w:hAnsi="Arial" w:cs="Times New Roman"/>
    </w:rPr>
  </w:style>
  <w:style w:type="character" w:customStyle="1" w:styleId="Corptext2Caracter">
    <w:name w:val="Corp text 2 Caracter"/>
    <w:basedOn w:val="Fontdeparagrafimplicit"/>
    <w:link w:val="Corptext21"/>
    <w:uiPriority w:val="99"/>
    <w:rsid w:val="00653202"/>
    <w:rPr>
      <w:rFonts w:ascii="Arial" w:eastAsia="Times New Roman" w:hAnsi="Arial" w:cs="Times New Roman"/>
      <w:sz w:val="22"/>
      <w:szCs w:val="22"/>
    </w:rPr>
  </w:style>
  <w:style w:type="paragraph" w:customStyle="1" w:styleId="Corptext31">
    <w:name w:val="Corp text 31"/>
    <w:basedOn w:val="Normal"/>
    <w:next w:val="Corptext3"/>
    <w:link w:val="Corptext3Caracter"/>
    <w:uiPriority w:val="99"/>
    <w:unhideWhenUsed/>
    <w:rsid w:val="00653202"/>
    <w:pPr>
      <w:spacing w:after="120" w:line="276" w:lineRule="auto"/>
    </w:pPr>
    <w:rPr>
      <w:rFonts w:ascii="Arial" w:eastAsia="Times New Roman" w:hAnsi="Arial" w:cs="Times New Roman"/>
      <w:sz w:val="16"/>
      <w:szCs w:val="16"/>
    </w:rPr>
  </w:style>
  <w:style w:type="character" w:customStyle="1" w:styleId="Corptext3Caracter">
    <w:name w:val="Corp text 3 Caracter"/>
    <w:basedOn w:val="Fontdeparagrafimplicit"/>
    <w:link w:val="Corptext31"/>
    <w:uiPriority w:val="99"/>
    <w:rsid w:val="00653202"/>
    <w:rPr>
      <w:rFonts w:ascii="Arial" w:eastAsia="Times New Roman" w:hAnsi="Arial" w:cs="Times New Roman"/>
      <w:sz w:val="16"/>
      <w:szCs w:val="16"/>
    </w:rPr>
  </w:style>
  <w:style w:type="paragraph" w:customStyle="1" w:styleId="List1">
    <w:name w:val="Listă1"/>
    <w:basedOn w:val="Normal"/>
    <w:next w:val="List"/>
    <w:uiPriority w:val="99"/>
    <w:unhideWhenUsed/>
    <w:rsid w:val="00653202"/>
    <w:pPr>
      <w:spacing w:after="60" w:line="276" w:lineRule="auto"/>
      <w:ind w:left="360" w:hanging="360"/>
      <w:contextualSpacing/>
    </w:pPr>
    <w:rPr>
      <w:rFonts w:ascii="Arial" w:eastAsia="Times New Roman" w:hAnsi="Arial"/>
      <w:kern w:val="0"/>
    </w:rPr>
  </w:style>
  <w:style w:type="paragraph" w:customStyle="1" w:styleId="Lista21">
    <w:name w:val="Lista 21"/>
    <w:basedOn w:val="Normal"/>
    <w:next w:val="Lista2"/>
    <w:uiPriority w:val="99"/>
    <w:unhideWhenUsed/>
    <w:rsid w:val="00653202"/>
    <w:pPr>
      <w:spacing w:after="60" w:line="276" w:lineRule="auto"/>
      <w:ind w:left="720" w:hanging="360"/>
      <w:contextualSpacing/>
    </w:pPr>
    <w:rPr>
      <w:rFonts w:ascii="Arial" w:eastAsia="Times New Roman" w:hAnsi="Arial"/>
      <w:kern w:val="0"/>
    </w:rPr>
  </w:style>
  <w:style w:type="paragraph" w:customStyle="1" w:styleId="Lista31">
    <w:name w:val="Lista 31"/>
    <w:basedOn w:val="Normal"/>
    <w:next w:val="Lista3"/>
    <w:uiPriority w:val="99"/>
    <w:unhideWhenUsed/>
    <w:rsid w:val="00653202"/>
    <w:pPr>
      <w:spacing w:after="60" w:line="276" w:lineRule="auto"/>
      <w:ind w:left="1080" w:hanging="360"/>
      <w:contextualSpacing/>
    </w:pPr>
    <w:rPr>
      <w:rFonts w:ascii="Arial" w:eastAsia="Times New Roman" w:hAnsi="Arial"/>
      <w:kern w:val="0"/>
    </w:rPr>
  </w:style>
  <w:style w:type="paragraph" w:customStyle="1" w:styleId="Listcumarcatori1">
    <w:name w:val="Listă cu marcatori1"/>
    <w:basedOn w:val="Normal"/>
    <w:next w:val="Listcumarcatori"/>
    <w:uiPriority w:val="99"/>
    <w:unhideWhenUsed/>
    <w:rsid w:val="00653202"/>
    <w:pPr>
      <w:numPr>
        <w:numId w:val="7"/>
      </w:numPr>
      <w:tabs>
        <w:tab w:val="clear" w:pos="360"/>
      </w:tabs>
      <w:spacing w:after="60" w:line="276" w:lineRule="auto"/>
      <w:ind w:left="0" w:firstLine="0"/>
      <w:contextualSpacing/>
    </w:pPr>
    <w:rPr>
      <w:rFonts w:ascii="Arial" w:eastAsia="Times New Roman" w:hAnsi="Arial"/>
      <w:kern w:val="0"/>
    </w:rPr>
  </w:style>
  <w:style w:type="paragraph" w:customStyle="1" w:styleId="Listacumarcatori21">
    <w:name w:val="Lista cu marcatori 21"/>
    <w:basedOn w:val="Normal"/>
    <w:next w:val="Listacumarcatori2"/>
    <w:uiPriority w:val="99"/>
    <w:unhideWhenUsed/>
    <w:rsid w:val="00653202"/>
    <w:pPr>
      <w:numPr>
        <w:numId w:val="8"/>
      </w:numPr>
      <w:tabs>
        <w:tab w:val="clear" w:pos="720"/>
      </w:tabs>
      <w:spacing w:after="60" w:line="276" w:lineRule="auto"/>
      <w:ind w:left="0" w:firstLine="0"/>
      <w:contextualSpacing/>
    </w:pPr>
    <w:rPr>
      <w:rFonts w:ascii="Arial" w:eastAsia="Times New Roman" w:hAnsi="Arial"/>
      <w:kern w:val="0"/>
    </w:rPr>
  </w:style>
  <w:style w:type="paragraph" w:customStyle="1" w:styleId="Listacumarcatori31">
    <w:name w:val="Lista cu marcatori 31"/>
    <w:basedOn w:val="Normal"/>
    <w:next w:val="Listacumarcatori3"/>
    <w:uiPriority w:val="99"/>
    <w:unhideWhenUsed/>
    <w:rsid w:val="00653202"/>
    <w:pPr>
      <w:numPr>
        <w:numId w:val="9"/>
      </w:numPr>
      <w:tabs>
        <w:tab w:val="clear" w:pos="1080"/>
      </w:tabs>
      <w:spacing w:after="60" w:line="276" w:lineRule="auto"/>
      <w:ind w:left="0" w:firstLine="0"/>
      <w:contextualSpacing/>
    </w:pPr>
    <w:rPr>
      <w:rFonts w:ascii="Arial" w:eastAsia="Times New Roman" w:hAnsi="Arial"/>
      <w:kern w:val="0"/>
    </w:rPr>
  </w:style>
  <w:style w:type="paragraph" w:customStyle="1" w:styleId="Listnumerotat1">
    <w:name w:val="Listă numerotată1"/>
    <w:basedOn w:val="Normal"/>
    <w:next w:val="Listnumerotat"/>
    <w:uiPriority w:val="99"/>
    <w:unhideWhenUsed/>
    <w:rsid w:val="00653202"/>
    <w:pPr>
      <w:numPr>
        <w:numId w:val="10"/>
      </w:numPr>
      <w:tabs>
        <w:tab w:val="clear" w:pos="360"/>
      </w:tabs>
      <w:spacing w:after="60" w:line="276" w:lineRule="auto"/>
      <w:ind w:left="0" w:firstLine="0"/>
      <w:contextualSpacing/>
    </w:pPr>
    <w:rPr>
      <w:rFonts w:ascii="Arial" w:eastAsia="Times New Roman" w:hAnsi="Arial"/>
      <w:kern w:val="0"/>
    </w:rPr>
  </w:style>
  <w:style w:type="paragraph" w:customStyle="1" w:styleId="Listanumerotat21">
    <w:name w:val="Lista numerotată 21"/>
    <w:basedOn w:val="Normal"/>
    <w:next w:val="Listanumerotat2"/>
    <w:uiPriority w:val="99"/>
    <w:unhideWhenUsed/>
    <w:rsid w:val="00653202"/>
    <w:pPr>
      <w:numPr>
        <w:numId w:val="11"/>
      </w:numPr>
      <w:tabs>
        <w:tab w:val="clear" w:pos="720"/>
      </w:tabs>
      <w:spacing w:after="60" w:line="276" w:lineRule="auto"/>
      <w:ind w:left="0" w:firstLine="0"/>
      <w:contextualSpacing/>
    </w:pPr>
    <w:rPr>
      <w:rFonts w:ascii="Arial" w:eastAsia="Times New Roman" w:hAnsi="Arial"/>
      <w:kern w:val="0"/>
    </w:rPr>
  </w:style>
  <w:style w:type="paragraph" w:customStyle="1" w:styleId="Listanumerotat31">
    <w:name w:val="Lista numerotată 31"/>
    <w:basedOn w:val="Normal"/>
    <w:next w:val="Listanumerotat3"/>
    <w:uiPriority w:val="99"/>
    <w:unhideWhenUsed/>
    <w:rsid w:val="00653202"/>
    <w:pPr>
      <w:numPr>
        <w:numId w:val="12"/>
      </w:numPr>
      <w:tabs>
        <w:tab w:val="clear" w:pos="1080"/>
      </w:tabs>
      <w:spacing w:after="60" w:line="276" w:lineRule="auto"/>
      <w:ind w:left="0" w:firstLine="0"/>
      <w:contextualSpacing/>
    </w:pPr>
    <w:rPr>
      <w:rFonts w:ascii="Arial" w:eastAsia="Times New Roman" w:hAnsi="Arial"/>
      <w:kern w:val="0"/>
    </w:rPr>
  </w:style>
  <w:style w:type="paragraph" w:customStyle="1" w:styleId="Listcontinuare1">
    <w:name w:val="Listă continuare1"/>
    <w:basedOn w:val="Normal"/>
    <w:next w:val="Listcontinuare"/>
    <w:uiPriority w:val="99"/>
    <w:unhideWhenUsed/>
    <w:rsid w:val="00653202"/>
    <w:pPr>
      <w:spacing w:after="120" w:line="276" w:lineRule="auto"/>
      <w:ind w:left="360"/>
      <w:contextualSpacing/>
    </w:pPr>
    <w:rPr>
      <w:rFonts w:ascii="Arial" w:eastAsia="Times New Roman" w:hAnsi="Arial"/>
      <w:kern w:val="0"/>
    </w:rPr>
  </w:style>
  <w:style w:type="paragraph" w:customStyle="1" w:styleId="Listcontinuare21">
    <w:name w:val="Listă continuare 21"/>
    <w:basedOn w:val="Normal"/>
    <w:next w:val="Listcontinuare2"/>
    <w:uiPriority w:val="99"/>
    <w:unhideWhenUsed/>
    <w:rsid w:val="00653202"/>
    <w:pPr>
      <w:spacing w:after="120" w:line="276" w:lineRule="auto"/>
      <w:ind w:left="720"/>
      <w:contextualSpacing/>
    </w:pPr>
    <w:rPr>
      <w:rFonts w:ascii="Arial" w:eastAsia="Times New Roman" w:hAnsi="Arial"/>
      <w:kern w:val="0"/>
    </w:rPr>
  </w:style>
  <w:style w:type="paragraph" w:customStyle="1" w:styleId="Listcontinuare31">
    <w:name w:val="Listă continuare 31"/>
    <w:basedOn w:val="Normal"/>
    <w:next w:val="Listcontinuare3"/>
    <w:uiPriority w:val="99"/>
    <w:unhideWhenUsed/>
    <w:rsid w:val="00653202"/>
    <w:pPr>
      <w:spacing w:after="120" w:line="276" w:lineRule="auto"/>
      <w:ind w:left="1080"/>
      <w:contextualSpacing/>
    </w:pPr>
    <w:rPr>
      <w:rFonts w:ascii="Arial" w:eastAsia="Times New Roman" w:hAnsi="Arial"/>
      <w:kern w:val="0"/>
    </w:rPr>
  </w:style>
  <w:style w:type="paragraph" w:customStyle="1" w:styleId="Textmacrocomand1">
    <w:name w:val="Text macrocomandă1"/>
    <w:next w:val="Textmacrocomand"/>
    <w:link w:val="TextmacrocomandCaracter"/>
    <w:uiPriority w:val="99"/>
    <w:unhideWhenUsed/>
    <w:rsid w:val="00653202"/>
    <w:pPr>
      <w:tabs>
        <w:tab w:val="left" w:pos="576"/>
        <w:tab w:val="left" w:pos="1152"/>
        <w:tab w:val="left" w:pos="1728"/>
        <w:tab w:val="left" w:pos="2304"/>
        <w:tab w:val="left" w:pos="2880"/>
        <w:tab w:val="left" w:pos="3456"/>
        <w:tab w:val="left" w:pos="4032"/>
      </w:tabs>
      <w:spacing w:after="200" w:line="276" w:lineRule="auto"/>
    </w:pPr>
    <w:rPr>
      <w:rFonts w:ascii="Courier" w:eastAsia="Times New Roman" w:hAnsi="Courier" w:cs="Times New Roman"/>
      <w:sz w:val="20"/>
      <w:szCs w:val="20"/>
    </w:rPr>
  </w:style>
  <w:style w:type="character" w:customStyle="1" w:styleId="TextmacrocomandCaracter">
    <w:name w:val="Text macrocomandă Caracter"/>
    <w:basedOn w:val="Fontdeparagrafimplicit"/>
    <w:link w:val="Textmacrocomand1"/>
    <w:uiPriority w:val="99"/>
    <w:rsid w:val="00653202"/>
    <w:rPr>
      <w:rFonts w:ascii="Courier" w:eastAsia="Times New Roman" w:hAnsi="Courier" w:cs="Times New Roman"/>
      <w:sz w:val="20"/>
      <w:szCs w:val="20"/>
    </w:rPr>
  </w:style>
  <w:style w:type="paragraph" w:customStyle="1" w:styleId="Legend1">
    <w:name w:val="Legendă1"/>
    <w:basedOn w:val="Normal"/>
    <w:next w:val="Normal"/>
    <w:uiPriority w:val="35"/>
    <w:semiHidden/>
    <w:unhideWhenUsed/>
    <w:qFormat/>
    <w:rsid w:val="00653202"/>
    <w:pPr>
      <w:spacing w:after="60" w:line="240" w:lineRule="auto"/>
    </w:pPr>
    <w:rPr>
      <w:rFonts w:ascii="Arial" w:eastAsia="Times New Roman" w:hAnsi="Arial"/>
      <w:b/>
      <w:bCs/>
      <w:color w:val="156082"/>
      <w:kern w:val="0"/>
      <w:sz w:val="18"/>
      <w:szCs w:val="18"/>
    </w:rPr>
  </w:style>
  <w:style w:type="character" w:styleId="Robust">
    <w:name w:val="Strong"/>
    <w:basedOn w:val="Fontdeparagrafimplicit"/>
    <w:uiPriority w:val="22"/>
    <w:qFormat/>
    <w:rsid w:val="00653202"/>
    <w:rPr>
      <w:b/>
      <w:bCs/>
    </w:rPr>
  </w:style>
  <w:style w:type="character" w:styleId="Accentuat">
    <w:name w:val="Emphasis"/>
    <w:basedOn w:val="Fontdeparagrafimplicit"/>
    <w:uiPriority w:val="20"/>
    <w:qFormat/>
    <w:rsid w:val="00653202"/>
    <w:rPr>
      <w:i/>
      <w:iCs/>
    </w:rPr>
  </w:style>
  <w:style w:type="character" w:customStyle="1" w:styleId="Accentuaresubtil1">
    <w:name w:val="Accentuare subtilă1"/>
    <w:basedOn w:val="Fontdeparagrafimplicit"/>
    <w:uiPriority w:val="19"/>
    <w:qFormat/>
    <w:rsid w:val="00653202"/>
    <w:rPr>
      <w:i/>
      <w:iCs/>
      <w:color w:val="808080"/>
    </w:rPr>
  </w:style>
  <w:style w:type="character" w:customStyle="1" w:styleId="Referiresubtil1">
    <w:name w:val="Referire subtilă1"/>
    <w:basedOn w:val="Fontdeparagrafimplicit"/>
    <w:uiPriority w:val="31"/>
    <w:qFormat/>
    <w:rsid w:val="00653202"/>
    <w:rPr>
      <w:smallCaps/>
      <w:color w:val="E97132"/>
      <w:u w:val="single"/>
    </w:rPr>
  </w:style>
  <w:style w:type="character" w:styleId="Titlulcrii">
    <w:name w:val="Book Title"/>
    <w:basedOn w:val="Fontdeparagrafimplicit"/>
    <w:uiPriority w:val="33"/>
    <w:qFormat/>
    <w:rsid w:val="00653202"/>
    <w:rPr>
      <w:b/>
      <w:bCs/>
      <w:smallCaps/>
      <w:spacing w:val="5"/>
    </w:rPr>
  </w:style>
  <w:style w:type="paragraph" w:customStyle="1" w:styleId="Titlucuprins1">
    <w:name w:val="Titlu cuprins1"/>
    <w:basedOn w:val="Titlu1"/>
    <w:next w:val="Normal"/>
    <w:uiPriority w:val="39"/>
    <w:semiHidden/>
    <w:unhideWhenUsed/>
    <w:qFormat/>
    <w:rsid w:val="00653202"/>
    <w:pPr>
      <w:spacing w:before="480" w:after="0" w:line="276" w:lineRule="auto"/>
      <w:outlineLvl w:val="9"/>
    </w:pPr>
    <w:rPr>
      <w:b/>
      <w:bCs/>
      <w:kern w:val="0"/>
      <w:sz w:val="28"/>
      <w:szCs w:val="28"/>
    </w:rPr>
  </w:style>
  <w:style w:type="table" w:customStyle="1" w:styleId="Tabelgril1">
    <w:name w:val="Tabel grilă1"/>
    <w:basedOn w:val="TabelNormal"/>
    <w:next w:val="GrilTabel"/>
    <w:uiPriority w:val="59"/>
    <w:rsid w:val="00653202"/>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Umbriredeculoaredeschis1">
    <w:name w:val="Umbrire de culoare deschisă1"/>
    <w:basedOn w:val="TabelNormal"/>
    <w:next w:val="Umbriredeculoaredeschis"/>
    <w:uiPriority w:val="60"/>
    <w:rsid w:val="00653202"/>
    <w:pPr>
      <w:spacing w:after="0" w:line="240" w:lineRule="auto"/>
    </w:pPr>
    <w:rPr>
      <w:rFonts w:eastAsia="Times New Roman"/>
      <w:color w:val="000000"/>
      <w:kern w:val="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Umbriredeculoaredeschis-Accentuare11">
    <w:name w:val="Umbrire de culoare deschisă - Accentuare 11"/>
    <w:basedOn w:val="TabelNormal"/>
    <w:next w:val="Umbriredeculoaredeschis-Accentuare1"/>
    <w:uiPriority w:val="60"/>
    <w:rsid w:val="00653202"/>
    <w:pPr>
      <w:spacing w:after="0" w:line="240" w:lineRule="auto"/>
    </w:pPr>
    <w:rPr>
      <w:rFonts w:eastAsia="Times New Roman"/>
      <w:color w:val="0F4761"/>
      <w:kern w:val="0"/>
    </w:rPr>
    <w:tblPr>
      <w:tblStyleRowBandSize w:val="1"/>
      <w:tblStyleColBandSize w:val="1"/>
      <w:tblInd w:w="0" w:type="dxa"/>
      <w:tblBorders>
        <w:top w:val="single" w:sz="8" w:space="0" w:color="156082"/>
        <w:bottom w:val="single" w:sz="8" w:space="0" w:color="15608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Umbriredeculoaredeschis-Accentuare21">
    <w:name w:val="Umbrire de culoare deschisă - Accentuare 21"/>
    <w:basedOn w:val="TabelNormal"/>
    <w:next w:val="Umbriredeculoaredeschis-Accentuare2"/>
    <w:uiPriority w:val="60"/>
    <w:rsid w:val="00653202"/>
    <w:pPr>
      <w:spacing w:after="0" w:line="240" w:lineRule="auto"/>
    </w:pPr>
    <w:rPr>
      <w:rFonts w:eastAsia="Times New Roman"/>
      <w:color w:val="BF4E14"/>
      <w:kern w:val="0"/>
    </w:rPr>
    <w:tblPr>
      <w:tblStyleRowBandSize w:val="1"/>
      <w:tblStyleColBandSize w:val="1"/>
      <w:tblInd w:w="0" w:type="dxa"/>
      <w:tblBorders>
        <w:top w:val="single" w:sz="8" w:space="0" w:color="E97132"/>
        <w:bottom w:val="single" w:sz="8" w:space="0" w:color="E9713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Umbriredeculoaredeschis-Accentuare31">
    <w:name w:val="Umbrire de culoare deschisă - Accentuare 31"/>
    <w:basedOn w:val="TabelNormal"/>
    <w:next w:val="Umbriredeculoaredeschis-Accentuare3"/>
    <w:uiPriority w:val="60"/>
    <w:rsid w:val="00653202"/>
    <w:pPr>
      <w:spacing w:after="0" w:line="240" w:lineRule="auto"/>
    </w:pPr>
    <w:rPr>
      <w:rFonts w:eastAsia="Times New Roman"/>
      <w:color w:val="124F1A"/>
      <w:kern w:val="0"/>
    </w:rPr>
    <w:tblPr>
      <w:tblStyleRowBandSize w:val="1"/>
      <w:tblStyleColBandSize w:val="1"/>
      <w:tblInd w:w="0" w:type="dxa"/>
      <w:tblBorders>
        <w:top w:val="single" w:sz="8" w:space="0" w:color="196B24"/>
        <w:bottom w:val="single" w:sz="8" w:space="0" w:color="196B2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Umbriredeculoaredeschis-Accentuare41">
    <w:name w:val="Umbrire de culoare deschisă - Accentuare 41"/>
    <w:basedOn w:val="TabelNormal"/>
    <w:next w:val="Umbriredeculoaredeschis-Accentuare4"/>
    <w:uiPriority w:val="60"/>
    <w:rsid w:val="00653202"/>
    <w:pPr>
      <w:spacing w:after="0" w:line="240" w:lineRule="auto"/>
    </w:pPr>
    <w:rPr>
      <w:rFonts w:eastAsia="Times New Roman"/>
      <w:color w:val="0B769F"/>
      <w:kern w:val="0"/>
    </w:rPr>
    <w:tblPr>
      <w:tblStyleRowBandSize w:val="1"/>
      <w:tblStyleColBandSize w:val="1"/>
      <w:tblInd w:w="0" w:type="dxa"/>
      <w:tblBorders>
        <w:top w:val="single" w:sz="8" w:space="0" w:color="0F9ED5"/>
        <w:bottom w:val="single" w:sz="8" w:space="0" w:color="0F9E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Umbriredeculoaredeschis-Accentuare51">
    <w:name w:val="Umbrire de culoare deschisă - Accentuare 51"/>
    <w:basedOn w:val="TabelNormal"/>
    <w:next w:val="Umbriredeculoaredeschis-Accentuare5"/>
    <w:uiPriority w:val="60"/>
    <w:rsid w:val="00653202"/>
    <w:pPr>
      <w:spacing w:after="0" w:line="240" w:lineRule="auto"/>
    </w:pPr>
    <w:rPr>
      <w:rFonts w:eastAsia="Times New Roman"/>
      <w:color w:val="77206D"/>
      <w:kern w:val="0"/>
    </w:rPr>
    <w:tblPr>
      <w:tblStyleRowBandSize w:val="1"/>
      <w:tblStyleColBandSize w:val="1"/>
      <w:tblInd w:w="0" w:type="dxa"/>
      <w:tblBorders>
        <w:top w:val="single" w:sz="8" w:space="0" w:color="A02B93"/>
        <w:bottom w:val="single" w:sz="8" w:space="0" w:color="A02B9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Umbriredeculoaredeschis-Accentuare61">
    <w:name w:val="Umbrire de culoare deschisă - Accentuare 61"/>
    <w:basedOn w:val="TabelNormal"/>
    <w:next w:val="Umbriredeculoaredeschis-Accentuare6"/>
    <w:uiPriority w:val="60"/>
    <w:rsid w:val="00653202"/>
    <w:pPr>
      <w:spacing w:after="0" w:line="240" w:lineRule="auto"/>
    </w:pPr>
    <w:rPr>
      <w:rFonts w:eastAsia="Times New Roman"/>
      <w:color w:val="3A7C22"/>
      <w:kern w:val="0"/>
    </w:rPr>
    <w:tblPr>
      <w:tblStyleRowBandSize w:val="1"/>
      <w:tblStyleColBandSize w:val="1"/>
      <w:tblInd w:w="0" w:type="dxa"/>
      <w:tblBorders>
        <w:top w:val="single" w:sz="8" w:space="0" w:color="4EA72E"/>
        <w:bottom w:val="single" w:sz="8" w:space="0" w:color="4EA72E"/>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deculoaredeschis1">
    <w:name w:val="Listă de culoare deschisă1"/>
    <w:basedOn w:val="TabelNormal"/>
    <w:next w:val="Listdeculoaredeschis"/>
    <w:uiPriority w:val="61"/>
    <w:rsid w:val="00653202"/>
    <w:pPr>
      <w:spacing w:after="0" w:line="240" w:lineRule="auto"/>
    </w:pPr>
    <w:rPr>
      <w:rFonts w:eastAsia="Times New Roman"/>
      <w:kern w:val="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deculoaredeschis-Accentuare11">
    <w:name w:val="Listă de culoare deschisă - Accentuare 11"/>
    <w:basedOn w:val="TabelNormal"/>
    <w:next w:val="Listdeculoaredeschis-Accentuare1"/>
    <w:uiPriority w:val="61"/>
    <w:rsid w:val="00653202"/>
    <w:pPr>
      <w:spacing w:after="0" w:line="240" w:lineRule="auto"/>
    </w:pPr>
    <w:rPr>
      <w:rFonts w:eastAsia="Times New Roman"/>
      <w:kern w:val="0"/>
    </w:rPr>
    <w:tblPr>
      <w:tblStyleRowBandSize w:val="1"/>
      <w:tblStyleColBandSize w:val="1"/>
      <w:tblInd w:w="0" w:type="dxa"/>
      <w:tblBorders>
        <w:top w:val="single" w:sz="8" w:space="0" w:color="156082"/>
        <w:left w:val="single" w:sz="8" w:space="0" w:color="156082"/>
        <w:bottom w:val="single" w:sz="8" w:space="0" w:color="156082"/>
        <w:right w:val="single" w:sz="8" w:space="0" w:color="15608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stdeculoaredeschis-Accentuare21">
    <w:name w:val="Listă de culoare deschisă - Accentuare 21"/>
    <w:basedOn w:val="TabelNormal"/>
    <w:next w:val="Listdeculoaredeschis-Accentuare2"/>
    <w:uiPriority w:val="61"/>
    <w:rsid w:val="00653202"/>
    <w:pPr>
      <w:spacing w:after="0" w:line="240" w:lineRule="auto"/>
    </w:pPr>
    <w:rPr>
      <w:rFonts w:eastAsia="Times New Roman"/>
      <w:kern w:val="0"/>
    </w:rPr>
    <w:tblPr>
      <w:tblStyleRowBandSize w:val="1"/>
      <w:tblStyleColBandSize w:val="1"/>
      <w:tblInd w:w="0" w:type="dxa"/>
      <w:tblBorders>
        <w:top w:val="single" w:sz="8" w:space="0" w:color="E97132"/>
        <w:left w:val="single" w:sz="8" w:space="0" w:color="E97132"/>
        <w:bottom w:val="single" w:sz="8" w:space="0" w:color="E97132"/>
        <w:right w:val="single" w:sz="8" w:space="0" w:color="E9713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stdeculoaredeschis-Accentuare31">
    <w:name w:val="Listă de culoare deschisă - Accentuare 31"/>
    <w:basedOn w:val="TabelNormal"/>
    <w:next w:val="Listdeculoaredeschis-Accentuare3"/>
    <w:uiPriority w:val="61"/>
    <w:rsid w:val="00653202"/>
    <w:pPr>
      <w:spacing w:after="0" w:line="240" w:lineRule="auto"/>
    </w:pPr>
    <w:rPr>
      <w:rFonts w:eastAsia="Times New Roman"/>
      <w:kern w:val="0"/>
    </w:rPr>
    <w:tblPr>
      <w:tblStyleRowBandSize w:val="1"/>
      <w:tblStyleColBandSize w:val="1"/>
      <w:tblInd w:w="0" w:type="dxa"/>
      <w:tblBorders>
        <w:top w:val="single" w:sz="8" w:space="0" w:color="196B24"/>
        <w:left w:val="single" w:sz="8" w:space="0" w:color="196B24"/>
        <w:bottom w:val="single" w:sz="8" w:space="0" w:color="196B24"/>
        <w:right w:val="single" w:sz="8" w:space="0" w:color="196B2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stdeculoaredeschis-Accentuare41">
    <w:name w:val="Listă de culoare deschisă - Accentuare 41"/>
    <w:basedOn w:val="TabelNormal"/>
    <w:next w:val="Listdeculoaredeschis-Accentuare4"/>
    <w:uiPriority w:val="61"/>
    <w:rsid w:val="00653202"/>
    <w:pPr>
      <w:spacing w:after="0" w:line="240" w:lineRule="auto"/>
    </w:pPr>
    <w:rPr>
      <w:rFonts w:eastAsia="Times New Roman"/>
      <w:kern w:val="0"/>
    </w:rPr>
    <w:tblPr>
      <w:tblStyleRowBandSize w:val="1"/>
      <w:tblStyleColBandSize w:val="1"/>
      <w:tblInd w:w="0" w:type="dxa"/>
      <w:tblBorders>
        <w:top w:val="single" w:sz="8" w:space="0" w:color="0F9ED5"/>
        <w:left w:val="single" w:sz="8" w:space="0" w:color="0F9ED5"/>
        <w:bottom w:val="single" w:sz="8" w:space="0" w:color="0F9ED5"/>
        <w:right w:val="single" w:sz="8" w:space="0" w:color="0F9E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stdeculoaredeschis-Accentuare51">
    <w:name w:val="Listă de culoare deschisă - Accentuare 51"/>
    <w:basedOn w:val="TabelNormal"/>
    <w:next w:val="Listdeculoaredeschis-Accentuare5"/>
    <w:uiPriority w:val="61"/>
    <w:rsid w:val="00653202"/>
    <w:pPr>
      <w:spacing w:after="0" w:line="240" w:lineRule="auto"/>
    </w:pPr>
    <w:rPr>
      <w:rFonts w:eastAsia="Times New Roman"/>
      <w:kern w:val="0"/>
    </w:rPr>
    <w:tblPr>
      <w:tblStyleRowBandSize w:val="1"/>
      <w:tblStyleColBandSize w:val="1"/>
      <w:tblInd w:w="0" w:type="dxa"/>
      <w:tblBorders>
        <w:top w:val="single" w:sz="8" w:space="0" w:color="A02B93"/>
        <w:left w:val="single" w:sz="8" w:space="0" w:color="A02B93"/>
        <w:bottom w:val="single" w:sz="8" w:space="0" w:color="A02B93"/>
        <w:right w:val="single" w:sz="8" w:space="0" w:color="A02B9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stdeculoaredeschis-Accentuare61">
    <w:name w:val="Listă de culoare deschisă - Accentuare 61"/>
    <w:basedOn w:val="TabelNormal"/>
    <w:next w:val="Listdeculoaredeschis-Accentuare6"/>
    <w:uiPriority w:val="61"/>
    <w:rsid w:val="00653202"/>
    <w:pPr>
      <w:spacing w:after="0" w:line="240" w:lineRule="auto"/>
    </w:pPr>
    <w:rPr>
      <w:rFonts w:eastAsia="Times New Roman"/>
      <w:kern w:val="0"/>
    </w:rPr>
    <w:tblPr>
      <w:tblStyleRowBandSize w:val="1"/>
      <w:tblStyleColBandSize w:val="1"/>
      <w:tblInd w:w="0" w:type="dxa"/>
      <w:tblBorders>
        <w:top w:val="single" w:sz="8" w:space="0" w:color="4EA72E"/>
        <w:left w:val="single" w:sz="8" w:space="0" w:color="4EA72E"/>
        <w:bottom w:val="single" w:sz="8" w:space="0" w:color="4EA72E"/>
        <w:right w:val="single" w:sz="8" w:space="0" w:color="4EA72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Grildeculoaredeschis1">
    <w:name w:val="Grilă de culoare deschisă1"/>
    <w:basedOn w:val="TabelNormal"/>
    <w:next w:val="Grildeculoaredeschis"/>
    <w:uiPriority w:val="62"/>
    <w:rsid w:val="00653202"/>
    <w:pPr>
      <w:spacing w:after="0" w:line="240" w:lineRule="auto"/>
    </w:pPr>
    <w:rPr>
      <w:rFonts w:eastAsia="Times New Roman"/>
      <w:kern w:val="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ldeculoaredeschis-Accentuare11">
    <w:name w:val="Grilă de culoare deschisă - Accentuare 11"/>
    <w:basedOn w:val="TabelNormal"/>
    <w:next w:val="Grildeculoaredeschis-Accentuare1"/>
    <w:uiPriority w:val="62"/>
    <w:rsid w:val="00653202"/>
    <w:pPr>
      <w:spacing w:after="0" w:line="240" w:lineRule="auto"/>
    </w:pPr>
    <w:rPr>
      <w:rFonts w:eastAsia="Times New Roman"/>
      <w:kern w:val="0"/>
    </w:rPr>
    <w:tblPr>
      <w:tblStyleRowBandSize w:val="1"/>
      <w:tblStyleColBandSize w:val="1"/>
      <w:tblInd w:w="0"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CellMar>
        <w:top w:w="0" w:type="dxa"/>
        <w:left w:w="108" w:type="dxa"/>
        <w:bottom w:w="0" w:type="dxa"/>
        <w:right w:w="108" w:type="dxa"/>
      </w:tblCellMar>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Grildeculoaredeschis-Accentuare21">
    <w:name w:val="Grilă de culoare deschisă - Accentuare 21"/>
    <w:basedOn w:val="TabelNormal"/>
    <w:next w:val="Grildeculoaredeschis-Accentuare2"/>
    <w:uiPriority w:val="62"/>
    <w:rsid w:val="00653202"/>
    <w:pPr>
      <w:spacing w:after="0" w:line="240" w:lineRule="auto"/>
    </w:pPr>
    <w:rPr>
      <w:rFonts w:eastAsia="Times New Roman"/>
      <w:kern w:val="0"/>
    </w:rPr>
    <w:tblPr>
      <w:tblStyleRowBandSize w:val="1"/>
      <w:tblStyleColBandSize w:val="1"/>
      <w:tblInd w:w="0" w:type="dxa"/>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CellMar>
        <w:top w:w="0" w:type="dxa"/>
        <w:left w:w="108" w:type="dxa"/>
        <w:bottom w:w="0" w:type="dxa"/>
        <w:right w:w="108" w:type="dxa"/>
      </w:tblCellMar>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Grildeculoaredeschis-Accentuare31">
    <w:name w:val="Grilă de culoare deschisă - Accentuare 31"/>
    <w:basedOn w:val="TabelNormal"/>
    <w:next w:val="Grildeculoaredeschis-Accentuare3"/>
    <w:uiPriority w:val="62"/>
    <w:rsid w:val="00653202"/>
    <w:pPr>
      <w:spacing w:after="0" w:line="240" w:lineRule="auto"/>
    </w:pPr>
    <w:rPr>
      <w:rFonts w:eastAsia="Times New Roman"/>
      <w:kern w:val="0"/>
    </w:rPr>
    <w:tblPr>
      <w:tblStyleRowBandSize w:val="1"/>
      <w:tblStyleColBandSize w:val="1"/>
      <w:tblInd w:w="0" w:type="dxa"/>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CellMar>
        <w:top w:w="0" w:type="dxa"/>
        <w:left w:w="108" w:type="dxa"/>
        <w:bottom w:w="0" w:type="dxa"/>
        <w:right w:w="108" w:type="dxa"/>
      </w:tblCellMar>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Grildeculoaredeschis-Accentuare41">
    <w:name w:val="Grilă de culoare deschisă - Accentuare 41"/>
    <w:basedOn w:val="TabelNormal"/>
    <w:next w:val="Grildeculoaredeschis-Accentuare4"/>
    <w:uiPriority w:val="62"/>
    <w:rsid w:val="00653202"/>
    <w:pPr>
      <w:spacing w:after="0" w:line="240" w:lineRule="auto"/>
    </w:pPr>
    <w:rPr>
      <w:rFonts w:eastAsia="Times New Roman"/>
      <w:kern w:val="0"/>
    </w:rPr>
    <w:tblPr>
      <w:tblStyleRowBandSize w:val="1"/>
      <w:tblStyleColBandSize w:val="1"/>
      <w:tblInd w:w="0" w:type="dxa"/>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CellMar>
        <w:top w:w="0" w:type="dxa"/>
        <w:left w:w="108" w:type="dxa"/>
        <w:bottom w:w="0" w:type="dxa"/>
        <w:right w:w="108" w:type="dxa"/>
      </w:tblCellMar>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Grildeculoaredeschis-Accentuare51">
    <w:name w:val="Grilă de culoare deschisă - Accentuare 51"/>
    <w:basedOn w:val="TabelNormal"/>
    <w:next w:val="Grildeculoaredeschis-Accentuare5"/>
    <w:uiPriority w:val="62"/>
    <w:rsid w:val="00653202"/>
    <w:pPr>
      <w:spacing w:after="0" w:line="240" w:lineRule="auto"/>
    </w:pPr>
    <w:rPr>
      <w:rFonts w:eastAsia="Times New Roman"/>
      <w:kern w:val="0"/>
    </w:rPr>
    <w:tblPr>
      <w:tblStyleRowBandSize w:val="1"/>
      <w:tblStyleColBandSize w:val="1"/>
      <w:tblInd w:w="0" w:type="dxa"/>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CellMar>
        <w:top w:w="0" w:type="dxa"/>
        <w:left w:w="108" w:type="dxa"/>
        <w:bottom w:w="0" w:type="dxa"/>
        <w:right w:w="108" w:type="dxa"/>
      </w:tblCellMar>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Grildeculoaredeschis-Accentuare61">
    <w:name w:val="Grilă de culoare deschisă - Accentuare 61"/>
    <w:basedOn w:val="TabelNormal"/>
    <w:next w:val="Grildeculoaredeschis-Accentuare6"/>
    <w:uiPriority w:val="62"/>
    <w:rsid w:val="00653202"/>
    <w:pPr>
      <w:spacing w:after="0" w:line="240" w:lineRule="auto"/>
    </w:pPr>
    <w:rPr>
      <w:rFonts w:eastAsia="Times New Roman"/>
      <w:kern w:val="0"/>
    </w:rPr>
    <w:tblPr>
      <w:tblStyleRowBandSize w:val="1"/>
      <w:tblStyleColBandSize w:val="1"/>
      <w:tblInd w:w="0" w:type="dxa"/>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CellMar>
        <w:top w:w="0" w:type="dxa"/>
        <w:left w:w="108" w:type="dxa"/>
        <w:bottom w:w="0" w:type="dxa"/>
        <w:right w:w="108" w:type="dxa"/>
      </w:tblCellMar>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Umbriremedie11">
    <w:name w:val="Umbrire medie 11"/>
    <w:basedOn w:val="TabelNormal"/>
    <w:next w:val="Umbriremedie1"/>
    <w:uiPriority w:val="63"/>
    <w:rsid w:val="00653202"/>
    <w:pPr>
      <w:spacing w:after="0" w:line="240" w:lineRule="auto"/>
    </w:pPr>
    <w:rPr>
      <w:rFonts w:eastAsia="Times New Roman"/>
      <w:kern w:val="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Umbriremedie1-Accentuare11">
    <w:name w:val="Umbrire medie 1 - Accentuare 11"/>
    <w:basedOn w:val="TabelNormal"/>
    <w:next w:val="Umbriremedie1-Accentuare1"/>
    <w:uiPriority w:val="63"/>
    <w:rsid w:val="00653202"/>
    <w:pPr>
      <w:spacing w:after="0" w:line="240" w:lineRule="auto"/>
    </w:pPr>
    <w:rPr>
      <w:rFonts w:eastAsia="Times New Roman"/>
      <w:kern w:val="0"/>
    </w:rPr>
    <w:tblPr>
      <w:tblStyleRowBandSize w:val="1"/>
      <w:tblStyleColBandSize w:val="1"/>
      <w:tblInd w:w="0" w:type="dxa"/>
      <w:tblBorders>
        <w:top w:val="single" w:sz="8" w:space="0" w:color="2198CF"/>
        <w:left w:val="single" w:sz="8" w:space="0" w:color="2198CF"/>
        <w:bottom w:val="single" w:sz="8" w:space="0" w:color="2198CF"/>
        <w:right w:val="single" w:sz="8" w:space="0" w:color="2198CF"/>
        <w:insideH w:val="single" w:sz="8" w:space="0" w:color="2198C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Umbriremedie1-Accentuare21">
    <w:name w:val="Umbrire medie 1 - Accentuare 21"/>
    <w:basedOn w:val="TabelNormal"/>
    <w:next w:val="Umbriremedie1-Accentuare2"/>
    <w:uiPriority w:val="63"/>
    <w:rsid w:val="00653202"/>
    <w:pPr>
      <w:spacing w:after="0" w:line="240" w:lineRule="auto"/>
    </w:pPr>
    <w:rPr>
      <w:rFonts w:eastAsia="Times New Roman"/>
      <w:kern w:val="0"/>
    </w:rPr>
    <w:tblPr>
      <w:tblStyleRowBandSize w:val="1"/>
      <w:tblStyleColBandSize w:val="1"/>
      <w:tblInd w:w="0" w:type="dxa"/>
      <w:tblBorders>
        <w:top w:val="single" w:sz="8" w:space="0" w:color="EE9465"/>
        <w:left w:val="single" w:sz="8" w:space="0" w:color="EE9465"/>
        <w:bottom w:val="single" w:sz="8" w:space="0" w:color="EE9465"/>
        <w:right w:val="single" w:sz="8" w:space="0" w:color="EE9465"/>
        <w:insideH w:val="single" w:sz="8" w:space="0" w:color="EE946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Umbriremedie1-Accentuare31">
    <w:name w:val="Umbrire medie 1 - Accentuare 31"/>
    <w:basedOn w:val="TabelNormal"/>
    <w:next w:val="Umbriremedie1-Accentuare3"/>
    <w:uiPriority w:val="63"/>
    <w:rsid w:val="00653202"/>
    <w:pPr>
      <w:spacing w:after="0" w:line="240" w:lineRule="auto"/>
    </w:pPr>
    <w:rPr>
      <w:rFonts w:eastAsia="Times New Roman"/>
      <w:kern w:val="0"/>
    </w:rPr>
    <w:tblPr>
      <w:tblStyleRowBandSize w:val="1"/>
      <w:tblStyleColBandSize w:val="1"/>
      <w:tblInd w:w="0" w:type="dxa"/>
      <w:tblBorders>
        <w:top w:val="single" w:sz="8" w:space="0" w:color="2BB73D"/>
        <w:left w:val="single" w:sz="8" w:space="0" w:color="2BB73D"/>
        <w:bottom w:val="single" w:sz="8" w:space="0" w:color="2BB73D"/>
        <w:right w:val="single" w:sz="8" w:space="0" w:color="2BB73D"/>
        <w:insideH w:val="single" w:sz="8" w:space="0" w:color="2BB73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Umbriremedie1-Accentuare41">
    <w:name w:val="Umbrire medie 1 - Accentuare 41"/>
    <w:basedOn w:val="TabelNormal"/>
    <w:next w:val="Umbriremedie1-Accentuare4"/>
    <w:uiPriority w:val="63"/>
    <w:rsid w:val="00653202"/>
    <w:pPr>
      <w:spacing w:after="0" w:line="240" w:lineRule="auto"/>
    </w:pPr>
    <w:rPr>
      <w:rFonts w:eastAsia="Times New Roman"/>
      <w:kern w:val="0"/>
    </w:rPr>
    <w:tblPr>
      <w:tblStyleRowBandSize w:val="1"/>
      <w:tblStyleColBandSize w:val="1"/>
      <w:tblInd w:w="0" w:type="dxa"/>
      <w:tblBorders>
        <w:top w:val="single" w:sz="8" w:space="0" w:color="39BEF1"/>
        <w:left w:val="single" w:sz="8" w:space="0" w:color="39BEF1"/>
        <w:bottom w:val="single" w:sz="8" w:space="0" w:color="39BEF1"/>
        <w:right w:val="single" w:sz="8" w:space="0" w:color="39BEF1"/>
        <w:insideH w:val="single" w:sz="8" w:space="0" w:color="39BEF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Umbriremedie1-Accentuare51">
    <w:name w:val="Umbrire medie 1 - Accentuare 51"/>
    <w:basedOn w:val="TabelNormal"/>
    <w:next w:val="Umbriremedie1-Accentuare5"/>
    <w:uiPriority w:val="63"/>
    <w:rsid w:val="00653202"/>
    <w:pPr>
      <w:spacing w:after="0" w:line="240" w:lineRule="auto"/>
    </w:pPr>
    <w:rPr>
      <w:rFonts w:eastAsia="Times New Roman"/>
      <w:kern w:val="0"/>
    </w:rPr>
    <w:tblPr>
      <w:tblStyleRowBandSize w:val="1"/>
      <w:tblStyleColBandSize w:val="1"/>
      <w:tblInd w:w="0" w:type="dxa"/>
      <w:tblBorders>
        <w:top w:val="single" w:sz="8" w:space="0" w:color="CE49BF"/>
        <w:left w:val="single" w:sz="8" w:space="0" w:color="CE49BF"/>
        <w:bottom w:val="single" w:sz="8" w:space="0" w:color="CE49BF"/>
        <w:right w:val="single" w:sz="8" w:space="0" w:color="CE49BF"/>
        <w:insideH w:val="single" w:sz="8" w:space="0" w:color="CE49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Umbriremedie1-Accentuare61">
    <w:name w:val="Umbrire medie 1 - Accentuare 61"/>
    <w:basedOn w:val="TabelNormal"/>
    <w:next w:val="Umbriremedie1-Accentuare6"/>
    <w:uiPriority w:val="63"/>
    <w:rsid w:val="00653202"/>
    <w:pPr>
      <w:spacing w:after="0" w:line="240" w:lineRule="auto"/>
    </w:pPr>
    <w:rPr>
      <w:rFonts w:eastAsia="Times New Roman"/>
      <w:kern w:val="0"/>
    </w:rPr>
    <w:tblPr>
      <w:tblStyleRowBandSize w:val="1"/>
      <w:tblStyleColBandSize w:val="1"/>
      <w:tblInd w:w="0" w:type="dxa"/>
      <w:tblBorders>
        <w:top w:val="single" w:sz="8" w:space="0" w:color="71CF50"/>
        <w:left w:val="single" w:sz="8" w:space="0" w:color="71CF50"/>
        <w:bottom w:val="single" w:sz="8" w:space="0" w:color="71CF50"/>
        <w:right w:val="single" w:sz="8" w:space="0" w:color="71CF50"/>
        <w:insideH w:val="single" w:sz="8" w:space="0" w:color="71CF5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Umbriremedie21">
    <w:name w:val="Umbrire medie 21"/>
    <w:basedOn w:val="TabelNormal"/>
    <w:next w:val="Umbriremedie2"/>
    <w:uiPriority w:val="64"/>
    <w:rsid w:val="00653202"/>
    <w:pPr>
      <w:spacing w:after="0" w:line="240" w:lineRule="auto"/>
    </w:pPr>
    <w:rPr>
      <w:rFonts w:eastAsia="Times New Roman"/>
      <w:kern w:val="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mbriremedie2-Accentuare11">
    <w:name w:val="Umbrire medie 2 - Accentuare 11"/>
    <w:basedOn w:val="TabelNormal"/>
    <w:next w:val="Umbriremedie2-Accentuare1"/>
    <w:uiPriority w:val="64"/>
    <w:rsid w:val="00653202"/>
    <w:pPr>
      <w:spacing w:after="0" w:line="240" w:lineRule="auto"/>
    </w:pPr>
    <w:rPr>
      <w:rFonts w:eastAsia="Times New Roman"/>
      <w:kern w:val="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mbriremedie2-Accentuare21">
    <w:name w:val="Umbrire medie 2 - Accentuare 21"/>
    <w:basedOn w:val="TabelNormal"/>
    <w:next w:val="Umbriremedie2-Accentuare2"/>
    <w:uiPriority w:val="64"/>
    <w:rsid w:val="00653202"/>
    <w:pPr>
      <w:spacing w:after="0" w:line="240" w:lineRule="auto"/>
    </w:pPr>
    <w:rPr>
      <w:rFonts w:eastAsia="Times New Roman"/>
      <w:kern w:val="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mbriremedie2-Accentuare31">
    <w:name w:val="Umbrire medie 2 - Accentuare 31"/>
    <w:basedOn w:val="TabelNormal"/>
    <w:next w:val="Umbriremedie2-Accentuare3"/>
    <w:uiPriority w:val="64"/>
    <w:rsid w:val="00653202"/>
    <w:pPr>
      <w:spacing w:after="0" w:line="240" w:lineRule="auto"/>
    </w:pPr>
    <w:rPr>
      <w:rFonts w:eastAsia="Times New Roman"/>
      <w:kern w:val="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mbriremedie2-Accentuare41">
    <w:name w:val="Umbrire medie 2 - Accentuare 41"/>
    <w:basedOn w:val="TabelNormal"/>
    <w:next w:val="Umbriremedie2-Accentuare4"/>
    <w:uiPriority w:val="64"/>
    <w:rsid w:val="00653202"/>
    <w:pPr>
      <w:spacing w:after="0" w:line="240" w:lineRule="auto"/>
    </w:pPr>
    <w:rPr>
      <w:rFonts w:eastAsia="Times New Roman"/>
      <w:kern w:val="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mbriremedie2-Accentuare51">
    <w:name w:val="Umbrire medie 2 - Accentuare 51"/>
    <w:basedOn w:val="TabelNormal"/>
    <w:next w:val="Umbriremedie2-Accentuare5"/>
    <w:uiPriority w:val="64"/>
    <w:rsid w:val="00653202"/>
    <w:pPr>
      <w:spacing w:after="0" w:line="240" w:lineRule="auto"/>
    </w:pPr>
    <w:rPr>
      <w:rFonts w:eastAsia="Times New Roman"/>
      <w:kern w:val="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Umbriremedie2-Accentuare61">
    <w:name w:val="Umbrire medie 2 - Accentuare 61"/>
    <w:basedOn w:val="TabelNormal"/>
    <w:next w:val="Umbriremedie2-Accentuare6"/>
    <w:uiPriority w:val="64"/>
    <w:rsid w:val="00653202"/>
    <w:pPr>
      <w:spacing w:after="0" w:line="240" w:lineRule="auto"/>
    </w:pPr>
    <w:rPr>
      <w:rFonts w:eastAsia="Times New Roman"/>
      <w:kern w:val="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medie11">
    <w:name w:val="Listă medie 11"/>
    <w:basedOn w:val="TabelNormal"/>
    <w:next w:val="Listmedie1"/>
    <w:uiPriority w:val="65"/>
    <w:rsid w:val="00653202"/>
    <w:pPr>
      <w:spacing w:after="0" w:line="240" w:lineRule="auto"/>
    </w:pPr>
    <w:rPr>
      <w:rFonts w:eastAsia="Times New Roman"/>
      <w:color w:val="000000"/>
      <w:kern w:val="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medie1-Accentuare11">
    <w:name w:val="Listă medie 1 - Accentuare 11"/>
    <w:basedOn w:val="TabelNormal"/>
    <w:next w:val="Listmedie1-Accentuare1"/>
    <w:uiPriority w:val="65"/>
    <w:rsid w:val="00653202"/>
    <w:pPr>
      <w:spacing w:after="0" w:line="240" w:lineRule="auto"/>
    </w:pPr>
    <w:rPr>
      <w:rFonts w:eastAsia="Times New Roman"/>
      <w:color w:val="000000"/>
      <w:kern w:val="0"/>
    </w:rPr>
    <w:tblPr>
      <w:tblStyleRowBandSize w:val="1"/>
      <w:tblStyleColBandSize w:val="1"/>
      <w:tblInd w:w="0" w:type="dxa"/>
      <w:tblBorders>
        <w:top w:val="single" w:sz="8" w:space="0" w:color="156082"/>
        <w:bottom w:val="single" w:sz="8" w:space="0" w:color="156082"/>
      </w:tblBorders>
      <w:tblCellMar>
        <w:top w:w="0" w:type="dxa"/>
        <w:left w:w="108" w:type="dxa"/>
        <w:bottom w:w="0" w:type="dxa"/>
        <w:right w:w="108" w:type="dxa"/>
      </w:tblCellMar>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Listmedie1-Accentuare21">
    <w:name w:val="Listă medie 1 - Accentuare 21"/>
    <w:basedOn w:val="TabelNormal"/>
    <w:next w:val="Listmedie1-Accentuare2"/>
    <w:uiPriority w:val="65"/>
    <w:rsid w:val="00653202"/>
    <w:pPr>
      <w:spacing w:after="0" w:line="240" w:lineRule="auto"/>
    </w:pPr>
    <w:rPr>
      <w:rFonts w:eastAsia="Times New Roman"/>
      <w:color w:val="000000"/>
      <w:kern w:val="0"/>
    </w:rPr>
    <w:tblPr>
      <w:tblStyleRowBandSize w:val="1"/>
      <w:tblStyleColBandSize w:val="1"/>
      <w:tblInd w:w="0" w:type="dxa"/>
      <w:tblBorders>
        <w:top w:val="single" w:sz="8" w:space="0" w:color="E97132"/>
        <w:bottom w:val="single" w:sz="8" w:space="0" w:color="E97132"/>
      </w:tblBorders>
      <w:tblCellMar>
        <w:top w:w="0" w:type="dxa"/>
        <w:left w:w="108" w:type="dxa"/>
        <w:bottom w:w="0" w:type="dxa"/>
        <w:right w:w="108" w:type="dxa"/>
      </w:tblCellMar>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Listmedie1-Accentuare31">
    <w:name w:val="Listă medie 1 - Accentuare 31"/>
    <w:basedOn w:val="TabelNormal"/>
    <w:next w:val="Listmedie1-Accentuare3"/>
    <w:uiPriority w:val="65"/>
    <w:rsid w:val="00653202"/>
    <w:pPr>
      <w:spacing w:after="0" w:line="240" w:lineRule="auto"/>
    </w:pPr>
    <w:rPr>
      <w:rFonts w:eastAsia="Times New Roman"/>
      <w:color w:val="000000"/>
      <w:kern w:val="0"/>
    </w:rPr>
    <w:tblPr>
      <w:tblStyleRowBandSize w:val="1"/>
      <w:tblStyleColBandSize w:val="1"/>
      <w:tblInd w:w="0" w:type="dxa"/>
      <w:tblBorders>
        <w:top w:val="single" w:sz="8" w:space="0" w:color="196B24"/>
        <w:bottom w:val="single" w:sz="8" w:space="0" w:color="196B24"/>
      </w:tblBorders>
      <w:tblCellMar>
        <w:top w:w="0" w:type="dxa"/>
        <w:left w:w="108" w:type="dxa"/>
        <w:bottom w:w="0" w:type="dxa"/>
        <w:right w:w="108" w:type="dxa"/>
      </w:tblCellMar>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Listmedie1-Accentuare41">
    <w:name w:val="Listă medie 1 - Accentuare 41"/>
    <w:basedOn w:val="TabelNormal"/>
    <w:next w:val="Listmedie1-Accentuare4"/>
    <w:uiPriority w:val="65"/>
    <w:rsid w:val="00653202"/>
    <w:pPr>
      <w:spacing w:after="0" w:line="240" w:lineRule="auto"/>
    </w:pPr>
    <w:rPr>
      <w:rFonts w:eastAsia="Times New Roman"/>
      <w:color w:val="000000"/>
      <w:kern w:val="0"/>
    </w:rPr>
    <w:tblPr>
      <w:tblStyleRowBandSize w:val="1"/>
      <w:tblStyleColBandSize w:val="1"/>
      <w:tblInd w:w="0" w:type="dxa"/>
      <w:tblBorders>
        <w:top w:val="single" w:sz="8" w:space="0" w:color="0F9ED5"/>
        <w:bottom w:val="single" w:sz="8" w:space="0" w:color="0F9ED5"/>
      </w:tblBorders>
      <w:tblCellMar>
        <w:top w:w="0" w:type="dxa"/>
        <w:left w:w="108" w:type="dxa"/>
        <w:bottom w:w="0" w:type="dxa"/>
        <w:right w:w="108" w:type="dxa"/>
      </w:tblCellMar>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Listmedie1-Accentuare51">
    <w:name w:val="Listă medie 1 - Accentuare 51"/>
    <w:basedOn w:val="TabelNormal"/>
    <w:next w:val="Listmedie1-Accentuare5"/>
    <w:uiPriority w:val="65"/>
    <w:rsid w:val="00653202"/>
    <w:pPr>
      <w:spacing w:after="0" w:line="240" w:lineRule="auto"/>
    </w:pPr>
    <w:rPr>
      <w:rFonts w:eastAsia="Times New Roman"/>
      <w:color w:val="000000"/>
      <w:kern w:val="0"/>
    </w:rPr>
    <w:tblPr>
      <w:tblStyleRowBandSize w:val="1"/>
      <w:tblStyleColBandSize w:val="1"/>
      <w:tblInd w:w="0" w:type="dxa"/>
      <w:tblBorders>
        <w:top w:val="single" w:sz="8" w:space="0" w:color="A02B93"/>
        <w:bottom w:val="single" w:sz="8" w:space="0" w:color="A02B93"/>
      </w:tblBorders>
      <w:tblCellMar>
        <w:top w:w="0" w:type="dxa"/>
        <w:left w:w="108" w:type="dxa"/>
        <w:bottom w:w="0" w:type="dxa"/>
        <w:right w:w="108" w:type="dxa"/>
      </w:tblCellMar>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Listmedie1-Accentuare61">
    <w:name w:val="Listă medie 1 - Accentuare 61"/>
    <w:basedOn w:val="TabelNormal"/>
    <w:next w:val="Listmedie1-Accentuare6"/>
    <w:uiPriority w:val="65"/>
    <w:rsid w:val="00653202"/>
    <w:pPr>
      <w:spacing w:after="0" w:line="240" w:lineRule="auto"/>
    </w:pPr>
    <w:rPr>
      <w:rFonts w:eastAsia="Times New Roman"/>
      <w:color w:val="000000"/>
      <w:kern w:val="0"/>
    </w:rPr>
    <w:tblPr>
      <w:tblStyleRowBandSize w:val="1"/>
      <w:tblStyleColBandSize w:val="1"/>
      <w:tblInd w:w="0" w:type="dxa"/>
      <w:tblBorders>
        <w:top w:val="single" w:sz="8" w:space="0" w:color="4EA72E"/>
        <w:bottom w:val="single" w:sz="8" w:space="0" w:color="4EA72E"/>
      </w:tblBorders>
      <w:tblCellMar>
        <w:top w:w="0" w:type="dxa"/>
        <w:left w:w="108" w:type="dxa"/>
        <w:bottom w:w="0" w:type="dxa"/>
        <w:right w:w="108" w:type="dxa"/>
      </w:tblCellMar>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Listmedie21">
    <w:name w:val="Listă medie 21"/>
    <w:basedOn w:val="TabelNormal"/>
    <w:next w:val="Listmedie2"/>
    <w:uiPriority w:val="66"/>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medie2-Accentuare11">
    <w:name w:val="Listă medie 2 - Accentuare 11"/>
    <w:basedOn w:val="TabelNormal"/>
    <w:next w:val="Listmedie2-Accentuare1"/>
    <w:uiPriority w:val="66"/>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156082"/>
        <w:left w:val="single" w:sz="8" w:space="0" w:color="156082"/>
        <w:bottom w:val="single" w:sz="8" w:space="0" w:color="156082"/>
        <w:right w:val="single" w:sz="8" w:space="0" w:color="156082"/>
      </w:tblBorders>
      <w:tblCellMar>
        <w:top w:w="0" w:type="dxa"/>
        <w:left w:w="108" w:type="dxa"/>
        <w:bottom w:w="0" w:type="dxa"/>
        <w:right w:w="108" w:type="dxa"/>
      </w:tblCellMar>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Listmedie2-Accentuare21">
    <w:name w:val="Listă medie 2 - Accentuare 21"/>
    <w:basedOn w:val="TabelNormal"/>
    <w:next w:val="Listmedie2-Accentuare2"/>
    <w:uiPriority w:val="66"/>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E97132"/>
        <w:left w:val="single" w:sz="8" w:space="0" w:color="E97132"/>
        <w:bottom w:val="single" w:sz="8" w:space="0" w:color="E97132"/>
        <w:right w:val="single" w:sz="8" w:space="0" w:color="E97132"/>
      </w:tblBorders>
      <w:tblCellMar>
        <w:top w:w="0" w:type="dxa"/>
        <w:left w:w="108" w:type="dxa"/>
        <w:bottom w:w="0" w:type="dxa"/>
        <w:right w:w="108" w:type="dxa"/>
      </w:tblCellMar>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bottom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Listmedie2-Accentuare31">
    <w:name w:val="Listă medie 2 - Accentuare 31"/>
    <w:basedOn w:val="TabelNormal"/>
    <w:next w:val="Listmedie2-Accentuare3"/>
    <w:uiPriority w:val="66"/>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196B24"/>
        <w:left w:val="single" w:sz="8" w:space="0" w:color="196B24"/>
        <w:bottom w:val="single" w:sz="8" w:space="0" w:color="196B24"/>
        <w:right w:val="single" w:sz="8" w:space="0" w:color="196B24"/>
      </w:tblBorders>
      <w:tblCellMar>
        <w:top w:w="0" w:type="dxa"/>
        <w:left w:w="108" w:type="dxa"/>
        <w:bottom w:w="0" w:type="dxa"/>
        <w:right w:w="108" w:type="dxa"/>
      </w:tblCellMar>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Listmedie2-Accentuare41">
    <w:name w:val="Listă medie 2 - Accentuare 41"/>
    <w:basedOn w:val="TabelNormal"/>
    <w:next w:val="Listmedie2-Accentuare4"/>
    <w:uiPriority w:val="66"/>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0F9ED5"/>
        <w:left w:val="single" w:sz="8" w:space="0" w:color="0F9ED5"/>
        <w:bottom w:val="single" w:sz="8" w:space="0" w:color="0F9ED5"/>
        <w:right w:val="single" w:sz="8" w:space="0" w:color="0F9ED5"/>
      </w:tblBorders>
      <w:tblCellMar>
        <w:top w:w="0" w:type="dxa"/>
        <w:left w:w="108" w:type="dxa"/>
        <w:bottom w:w="0" w:type="dxa"/>
        <w:right w:w="108" w:type="dxa"/>
      </w:tblCellMar>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Listmedie2-Accentuare51">
    <w:name w:val="Listă medie 2 - Accentuare 51"/>
    <w:basedOn w:val="TabelNormal"/>
    <w:next w:val="Listmedie2-Accentuare5"/>
    <w:uiPriority w:val="66"/>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A02B93"/>
        <w:left w:val="single" w:sz="8" w:space="0" w:color="A02B93"/>
        <w:bottom w:val="single" w:sz="8" w:space="0" w:color="A02B93"/>
        <w:right w:val="single" w:sz="8" w:space="0" w:color="A02B93"/>
      </w:tblBorders>
      <w:tblCellMar>
        <w:top w:w="0" w:type="dxa"/>
        <w:left w:w="108" w:type="dxa"/>
        <w:bottom w:w="0" w:type="dxa"/>
        <w:right w:w="108" w:type="dxa"/>
      </w:tblCellMar>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Listmedie2-Accentuare61">
    <w:name w:val="Listă medie 2 - Accentuare 61"/>
    <w:basedOn w:val="TabelNormal"/>
    <w:next w:val="Listmedie2-Accentuare6"/>
    <w:uiPriority w:val="66"/>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4EA72E"/>
        <w:left w:val="single" w:sz="8" w:space="0" w:color="4EA72E"/>
        <w:bottom w:val="single" w:sz="8" w:space="0" w:color="4EA72E"/>
        <w:right w:val="single" w:sz="8" w:space="0" w:color="4EA72E"/>
      </w:tblBorders>
      <w:tblCellMar>
        <w:top w:w="0" w:type="dxa"/>
        <w:left w:w="108" w:type="dxa"/>
        <w:bottom w:w="0" w:type="dxa"/>
        <w:right w:w="108" w:type="dxa"/>
      </w:tblCellMar>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Grilmedie11">
    <w:name w:val="Grilă medie 11"/>
    <w:basedOn w:val="TabelNormal"/>
    <w:next w:val="Grilmedie1"/>
    <w:uiPriority w:val="67"/>
    <w:rsid w:val="00653202"/>
    <w:pPr>
      <w:spacing w:after="0" w:line="240" w:lineRule="auto"/>
    </w:pPr>
    <w:rPr>
      <w:rFonts w:eastAsia="Times New Roman"/>
      <w:kern w:val="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Grilmedie1-Accentuare11">
    <w:name w:val="Grilă medie 1 - Accentuare 11"/>
    <w:basedOn w:val="TabelNormal"/>
    <w:next w:val="Grilmedie1-Accentuare1"/>
    <w:uiPriority w:val="67"/>
    <w:rsid w:val="00653202"/>
    <w:pPr>
      <w:spacing w:after="0" w:line="240" w:lineRule="auto"/>
    </w:pPr>
    <w:rPr>
      <w:rFonts w:eastAsia="Times New Roman"/>
      <w:kern w:val="0"/>
    </w:rPr>
    <w:tblPr>
      <w:tblStyleRowBandSize w:val="1"/>
      <w:tblStyleColBandSize w:val="1"/>
      <w:tblInd w:w="0" w:type="dxa"/>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CellMar>
        <w:top w:w="0" w:type="dxa"/>
        <w:left w:w="108" w:type="dxa"/>
        <w:bottom w:w="0" w:type="dxa"/>
        <w:right w:w="108" w:type="dxa"/>
      </w:tblCellMar>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Grilmedie1-Accentuare21">
    <w:name w:val="Grilă medie 1 - Accentuare 21"/>
    <w:basedOn w:val="TabelNormal"/>
    <w:next w:val="Grilmedie1-Accentuare2"/>
    <w:uiPriority w:val="67"/>
    <w:rsid w:val="00653202"/>
    <w:pPr>
      <w:spacing w:after="0" w:line="240" w:lineRule="auto"/>
    </w:pPr>
    <w:rPr>
      <w:rFonts w:eastAsia="Times New Roman"/>
      <w:kern w:val="0"/>
    </w:rPr>
    <w:tblPr>
      <w:tblStyleRowBandSize w:val="1"/>
      <w:tblStyleColBandSize w:val="1"/>
      <w:tblInd w:w="0" w:type="dxa"/>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CellMar>
        <w:top w:w="0" w:type="dxa"/>
        <w:left w:w="108" w:type="dxa"/>
        <w:bottom w:w="0" w:type="dxa"/>
        <w:right w:w="108" w:type="dxa"/>
      </w:tblCellMar>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Grilmedie1-Accentuare31">
    <w:name w:val="Grilă medie 1 - Accentuare 31"/>
    <w:basedOn w:val="TabelNormal"/>
    <w:next w:val="Grilmedie1-Accentuare3"/>
    <w:uiPriority w:val="67"/>
    <w:rsid w:val="00653202"/>
    <w:pPr>
      <w:spacing w:after="0" w:line="240" w:lineRule="auto"/>
    </w:pPr>
    <w:rPr>
      <w:rFonts w:eastAsia="Times New Roman"/>
      <w:kern w:val="0"/>
    </w:rPr>
    <w:tblPr>
      <w:tblStyleRowBandSize w:val="1"/>
      <w:tblStyleColBandSize w:val="1"/>
      <w:tblInd w:w="0" w:type="dxa"/>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CellMar>
        <w:top w:w="0" w:type="dxa"/>
        <w:left w:w="108" w:type="dxa"/>
        <w:bottom w:w="0" w:type="dxa"/>
        <w:right w:w="108" w:type="dxa"/>
      </w:tblCellMar>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Grilmedie1-Accentuare41">
    <w:name w:val="Grilă medie 1 - Accentuare 41"/>
    <w:basedOn w:val="TabelNormal"/>
    <w:next w:val="Grilmedie1-Accentuare4"/>
    <w:uiPriority w:val="67"/>
    <w:rsid w:val="00653202"/>
    <w:pPr>
      <w:spacing w:after="0" w:line="240" w:lineRule="auto"/>
    </w:pPr>
    <w:rPr>
      <w:rFonts w:eastAsia="Times New Roman"/>
      <w:kern w:val="0"/>
    </w:rPr>
    <w:tblPr>
      <w:tblStyleRowBandSize w:val="1"/>
      <w:tblStyleColBandSize w:val="1"/>
      <w:tblInd w:w="0" w:type="dxa"/>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CellMar>
        <w:top w:w="0" w:type="dxa"/>
        <w:left w:w="108" w:type="dxa"/>
        <w:bottom w:w="0" w:type="dxa"/>
        <w:right w:w="108" w:type="dxa"/>
      </w:tblCellMar>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Grilmedie1-Accentuare51">
    <w:name w:val="Grilă medie 1 - Accentuare 51"/>
    <w:basedOn w:val="TabelNormal"/>
    <w:next w:val="Grilmedie1-Accentuare5"/>
    <w:uiPriority w:val="67"/>
    <w:rsid w:val="00653202"/>
    <w:pPr>
      <w:spacing w:after="0" w:line="240" w:lineRule="auto"/>
    </w:pPr>
    <w:rPr>
      <w:rFonts w:eastAsia="Times New Roman"/>
      <w:kern w:val="0"/>
    </w:rPr>
    <w:tblPr>
      <w:tblStyleRowBandSize w:val="1"/>
      <w:tblStyleColBandSize w:val="1"/>
      <w:tblInd w:w="0" w:type="dxa"/>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CellMar>
        <w:top w:w="0" w:type="dxa"/>
        <w:left w:w="108" w:type="dxa"/>
        <w:bottom w:w="0" w:type="dxa"/>
        <w:right w:w="108" w:type="dxa"/>
      </w:tblCellMar>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Grilmedie1-Accentuare61">
    <w:name w:val="Grilă medie 1 - Accentuare 61"/>
    <w:basedOn w:val="TabelNormal"/>
    <w:next w:val="Grilmedie1-Accentuare6"/>
    <w:uiPriority w:val="67"/>
    <w:rsid w:val="00653202"/>
    <w:pPr>
      <w:spacing w:after="0" w:line="240" w:lineRule="auto"/>
    </w:pPr>
    <w:rPr>
      <w:rFonts w:eastAsia="Times New Roman"/>
      <w:kern w:val="0"/>
    </w:rPr>
    <w:tblPr>
      <w:tblStyleRowBandSize w:val="1"/>
      <w:tblStyleColBandSize w:val="1"/>
      <w:tblInd w:w="0" w:type="dxa"/>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CellMar>
        <w:top w:w="0" w:type="dxa"/>
        <w:left w:w="108" w:type="dxa"/>
        <w:bottom w:w="0" w:type="dxa"/>
        <w:right w:w="108" w:type="dxa"/>
      </w:tblCellMar>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Grilmedie21">
    <w:name w:val="Grilă medie 21"/>
    <w:basedOn w:val="TabelNormal"/>
    <w:next w:val="Grilmedie2"/>
    <w:uiPriority w:val="68"/>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medie2-Accentuare11">
    <w:name w:val="Grilă medie 2 - Accentuare 11"/>
    <w:basedOn w:val="TabelNormal"/>
    <w:next w:val="Grilmedie2-Accentuare1"/>
    <w:uiPriority w:val="68"/>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CellMar>
        <w:top w:w="0" w:type="dxa"/>
        <w:left w:w="108" w:type="dxa"/>
        <w:bottom w:w="0" w:type="dxa"/>
        <w:right w:w="108" w:type="dxa"/>
      </w:tblCellMar>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Grilmedie2-Accentuare21">
    <w:name w:val="Grilă medie 2 - Accentuare 21"/>
    <w:basedOn w:val="TabelNormal"/>
    <w:next w:val="Grilmedie2-Accentuare2"/>
    <w:uiPriority w:val="68"/>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CellMar>
        <w:top w:w="0" w:type="dxa"/>
        <w:left w:w="108" w:type="dxa"/>
        <w:bottom w:w="0" w:type="dxa"/>
        <w:right w:w="108" w:type="dxa"/>
      </w:tblCellMar>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Grilmedie2-Accentuare31">
    <w:name w:val="Grilă medie 2 - Accentuare 31"/>
    <w:basedOn w:val="TabelNormal"/>
    <w:next w:val="Grilmedie2-Accentuare3"/>
    <w:uiPriority w:val="68"/>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CellMar>
        <w:top w:w="0" w:type="dxa"/>
        <w:left w:w="108" w:type="dxa"/>
        <w:bottom w:w="0" w:type="dxa"/>
        <w:right w:w="108" w:type="dxa"/>
      </w:tblCellMar>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Grilmedie2-Accentuare41">
    <w:name w:val="Grilă medie 2 - Accentuare 41"/>
    <w:basedOn w:val="TabelNormal"/>
    <w:next w:val="Grilmedie2-Accentuare4"/>
    <w:uiPriority w:val="68"/>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CellMar>
        <w:top w:w="0" w:type="dxa"/>
        <w:left w:w="108" w:type="dxa"/>
        <w:bottom w:w="0" w:type="dxa"/>
        <w:right w:w="108" w:type="dxa"/>
      </w:tblCellMar>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Grilmedie2-Accentuare51">
    <w:name w:val="Grilă medie 2 - Accentuare 51"/>
    <w:basedOn w:val="TabelNormal"/>
    <w:next w:val="Grilmedie2-Accentuare5"/>
    <w:uiPriority w:val="68"/>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CellMar>
        <w:top w:w="0" w:type="dxa"/>
        <w:left w:w="108" w:type="dxa"/>
        <w:bottom w:w="0" w:type="dxa"/>
        <w:right w:w="108" w:type="dxa"/>
      </w:tblCellMar>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Grilmedie2-Accentuare61">
    <w:name w:val="Grilă medie 2 - Accentuare 61"/>
    <w:basedOn w:val="TabelNormal"/>
    <w:next w:val="Grilmedie2-Accentuare6"/>
    <w:uiPriority w:val="68"/>
    <w:rsid w:val="00653202"/>
    <w:pPr>
      <w:spacing w:after="0" w:line="240" w:lineRule="auto"/>
    </w:pPr>
    <w:rPr>
      <w:rFonts w:ascii="Aptos Display" w:eastAsia="Times New Roman" w:hAnsi="Aptos Display" w:cs="Times New Roman"/>
      <w:color w:val="000000"/>
      <w:kern w:val="0"/>
    </w:rPr>
    <w:tblPr>
      <w:tblStyleRowBandSize w:val="1"/>
      <w:tblStyleColBandSize w:val="1"/>
      <w:tblInd w:w="0" w:type="dxa"/>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CellMar>
        <w:top w:w="0" w:type="dxa"/>
        <w:left w:w="108" w:type="dxa"/>
        <w:bottom w:w="0" w:type="dxa"/>
        <w:right w:w="108" w:type="dxa"/>
      </w:tblCellMar>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Grilmedie31">
    <w:name w:val="Grilă medie 31"/>
    <w:basedOn w:val="TabelNormal"/>
    <w:next w:val="Grilmedie3"/>
    <w:uiPriority w:val="69"/>
    <w:rsid w:val="00653202"/>
    <w:pPr>
      <w:spacing w:after="0" w:line="240" w:lineRule="auto"/>
    </w:pPr>
    <w:rPr>
      <w:rFonts w:eastAsia="Times New Roman"/>
      <w:kern w:val="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Grilmedie3-Accentuare11">
    <w:name w:val="Grilă medie 3 - Accentuare 11"/>
    <w:basedOn w:val="TabelNormal"/>
    <w:next w:val="Grilmedie3-Accentuare1"/>
    <w:uiPriority w:val="69"/>
    <w:rsid w:val="00653202"/>
    <w:pPr>
      <w:spacing w:after="0" w:line="240" w:lineRule="auto"/>
    </w:pPr>
    <w:rPr>
      <w:rFonts w:eastAsia="Times New Roman"/>
      <w:kern w:val="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Grilmedie3-Accentuare21">
    <w:name w:val="Grilă medie 3 - Accentuare 21"/>
    <w:basedOn w:val="TabelNormal"/>
    <w:next w:val="Grilmedie3-Accentuare2"/>
    <w:uiPriority w:val="69"/>
    <w:rsid w:val="00653202"/>
    <w:pPr>
      <w:spacing w:after="0" w:line="240" w:lineRule="auto"/>
    </w:pPr>
    <w:rPr>
      <w:rFonts w:eastAsia="Times New Roman"/>
      <w:kern w:val="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Grilmedie3-Accentuare31">
    <w:name w:val="Grilă medie 3 - Accentuare 31"/>
    <w:basedOn w:val="TabelNormal"/>
    <w:next w:val="Grilmedie3-Accentuare3"/>
    <w:uiPriority w:val="69"/>
    <w:rsid w:val="00653202"/>
    <w:pPr>
      <w:spacing w:after="0" w:line="240" w:lineRule="auto"/>
    </w:pPr>
    <w:rPr>
      <w:rFonts w:eastAsia="Times New Roman"/>
      <w:kern w:val="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Grilmedie3-Accentuare41">
    <w:name w:val="Grilă medie 3 - Accentuare 41"/>
    <w:basedOn w:val="TabelNormal"/>
    <w:next w:val="Grilmedie3-Accentuare4"/>
    <w:uiPriority w:val="69"/>
    <w:rsid w:val="00653202"/>
    <w:pPr>
      <w:spacing w:after="0" w:line="240" w:lineRule="auto"/>
    </w:pPr>
    <w:rPr>
      <w:rFonts w:eastAsia="Times New Roman"/>
      <w:kern w:val="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Grilmedie3-Accentuare51">
    <w:name w:val="Grilă medie 3 - Accentuare 51"/>
    <w:basedOn w:val="TabelNormal"/>
    <w:next w:val="Grilmedie3-Accentuare5"/>
    <w:uiPriority w:val="69"/>
    <w:rsid w:val="00653202"/>
    <w:pPr>
      <w:spacing w:after="0" w:line="240" w:lineRule="auto"/>
    </w:pPr>
    <w:rPr>
      <w:rFonts w:eastAsia="Times New Roman"/>
      <w:kern w:val="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Grilmedie3-Accentuare61">
    <w:name w:val="Grilă medie 3 - Accentuare 61"/>
    <w:basedOn w:val="TabelNormal"/>
    <w:next w:val="Grilmedie3-Accentuare6"/>
    <w:uiPriority w:val="69"/>
    <w:rsid w:val="00653202"/>
    <w:pPr>
      <w:spacing w:after="0" w:line="240" w:lineRule="auto"/>
    </w:pPr>
    <w:rPr>
      <w:rFonts w:eastAsia="Times New Roman"/>
      <w:kern w:val="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Listdeculoarenchis1">
    <w:name w:val="Listă de culoare închisă1"/>
    <w:basedOn w:val="TabelNormal"/>
    <w:next w:val="Listdeculoarenchis"/>
    <w:uiPriority w:val="70"/>
    <w:rsid w:val="00653202"/>
    <w:pPr>
      <w:spacing w:after="0" w:line="240" w:lineRule="auto"/>
    </w:pPr>
    <w:rPr>
      <w:rFonts w:eastAsia="Times New Roman"/>
      <w:color w:val="FFFFFF"/>
      <w:kern w:val="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stdeculoarenchis-Accentuare11">
    <w:name w:val="Listă de culoare închisă - Accentuare 11"/>
    <w:basedOn w:val="TabelNormal"/>
    <w:next w:val="Listdeculoarenchis-Accentuare1"/>
    <w:uiPriority w:val="70"/>
    <w:rsid w:val="00653202"/>
    <w:pPr>
      <w:spacing w:after="0" w:line="240" w:lineRule="auto"/>
    </w:pPr>
    <w:rPr>
      <w:rFonts w:eastAsia="Times New Roman"/>
      <w:color w:val="FFFFFF"/>
      <w:kern w:val="0"/>
    </w:rPr>
    <w:tblPr>
      <w:tblStyleRowBandSize w:val="1"/>
      <w:tblStyleColBandSize w:val="1"/>
      <w:tblInd w:w="0" w:type="dxa"/>
      <w:tblCellMar>
        <w:top w:w="0" w:type="dxa"/>
        <w:left w:w="108" w:type="dxa"/>
        <w:bottom w:w="0" w:type="dxa"/>
        <w:right w:w="108" w:type="dxa"/>
      </w:tblCellMar>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Listdeculoarenchis-Accentuare21">
    <w:name w:val="Listă de culoare închisă - Accentuare 21"/>
    <w:basedOn w:val="TabelNormal"/>
    <w:next w:val="Listdeculoarenchis-Accentuare2"/>
    <w:uiPriority w:val="70"/>
    <w:rsid w:val="00653202"/>
    <w:pPr>
      <w:spacing w:after="0" w:line="240" w:lineRule="auto"/>
    </w:pPr>
    <w:rPr>
      <w:rFonts w:eastAsia="Times New Roman"/>
      <w:color w:val="FFFFFF"/>
      <w:kern w:val="0"/>
    </w:rPr>
    <w:tblPr>
      <w:tblStyleRowBandSize w:val="1"/>
      <w:tblStyleColBandSize w:val="1"/>
      <w:tblInd w:w="0" w:type="dxa"/>
      <w:tblCellMar>
        <w:top w:w="0" w:type="dxa"/>
        <w:left w:w="108" w:type="dxa"/>
        <w:bottom w:w="0" w:type="dxa"/>
        <w:right w:w="108" w:type="dxa"/>
      </w:tblCellMar>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Listdeculoarenchis-Accentuare31">
    <w:name w:val="Listă de culoare închisă - Accentuare 31"/>
    <w:basedOn w:val="TabelNormal"/>
    <w:next w:val="Listdeculoarenchis-Accentuare3"/>
    <w:uiPriority w:val="70"/>
    <w:rsid w:val="00653202"/>
    <w:pPr>
      <w:spacing w:after="0" w:line="240" w:lineRule="auto"/>
    </w:pPr>
    <w:rPr>
      <w:rFonts w:eastAsia="Times New Roman"/>
      <w:color w:val="FFFFFF"/>
      <w:kern w:val="0"/>
    </w:rPr>
    <w:tblPr>
      <w:tblStyleRowBandSize w:val="1"/>
      <w:tblStyleColBandSize w:val="1"/>
      <w:tblInd w:w="0" w:type="dxa"/>
      <w:tblCellMar>
        <w:top w:w="0" w:type="dxa"/>
        <w:left w:w="108" w:type="dxa"/>
        <w:bottom w:w="0" w:type="dxa"/>
        <w:right w:w="108" w:type="dxa"/>
      </w:tblCellMar>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Listdeculoarenchis-Accentuare41">
    <w:name w:val="Listă de culoare închisă - Accentuare 41"/>
    <w:basedOn w:val="TabelNormal"/>
    <w:next w:val="Listdeculoarenchis-Accentuare4"/>
    <w:uiPriority w:val="70"/>
    <w:rsid w:val="00653202"/>
    <w:pPr>
      <w:spacing w:after="0" w:line="240" w:lineRule="auto"/>
    </w:pPr>
    <w:rPr>
      <w:rFonts w:eastAsia="Times New Roman"/>
      <w:color w:val="FFFFFF"/>
      <w:kern w:val="0"/>
    </w:rPr>
    <w:tblPr>
      <w:tblStyleRowBandSize w:val="1"/>
      <w:tblStyleColBandSize w:val="1"/>
      <w:tblInd w:w="0" w:type="dxa"/>
      <w:tblCellMar>
        <w:top w:w="0" w:type="dxa"/>
        <w:left w:w="108" w:type="dxa"/>
        <w:bottom w:w="0" w:type="dxa"/>
        <w:right w:w="108" w:type="dxa"/>
      </w:tblCellMar>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Listdeculoarenchis-Accentuare51">
    <w:name w:val="Listă de culoare închisă - Accentuare 51"/>
    <w:basedOn w:val="TabelNormal"/>
    <w:next w:val="Listdeculoarenchis-Accentuare5"/>
    <w:uiPriority w:val="70"/>
    <w:rsid w:val="00653202"/>
    <w:pPr>
      <w:spacing w:after="0" w:line="240" w:lineRule="auto"/>
    </w:pPr>
    <w:rPr>
      <w:rFonts w:eastAsia="Times New Roman"/>
      <w:color w:val="FFFFFF"/>
      <w:kern w:val="0"/>
    </w:rPr>
    <w:tblPr>
      <w:tblStyleRowBandSize w:val="1"/>
      <w:tblStyleColBandSize w:val="1"/>
      <w:tblInd w:w="0" w:type="dxa"/>
      <w:tblCellMar>
        <w:top w:w="0" w:type="dxa"/>
        <w:left w:w="108" w:type="dxa"/>
        <w:bottom w:w="0" w:type="dxa"/>
        <w:right w:w="108" w:type="dxa"/>
      </w:tblCellMar>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Listdeculoarenchis-Accentuare61">
    <w:name w:val="Listă de culoare închisă - Accentuare 61"/>
    <w:basedOn w:val="TabelNormal"/>
    <w:next w:val="Listdeculoarenchis-Accentuare6"/>
    <w:uiPriority w:val="70"/>
    <w:rsid w:val="00653202"/>
    <w:pPr>
      <w:spacing w:after="0" w:line="240" w:lineRule="auto"/>
    </w:pPr>
    <w:rPr>
      <w:rFonts w:eastAsia="Times New Roman"/>
      <w:color w:val="FFFFFF"/>
      <w:kern w:val="0"/>
    </w:rPr>
    <w:tblPr>
      <w:tblStyleRowBandSize w:val="1"/>
      <w:tblStyleColBandSize w:val="1"/>
      <w:tblInd w:w="0" w:type="dxa"/>
      <w:tblCellMar>
        <w:top w:w="0" w:type="dxa"/>
        <w:left w:w="108" w:type="dxa"/>
        <w:bottom w:w="0" w:type="dxa"/>
        <w:right w:w="108" w:type="dxa"/>
      </w:tblCellMar>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Umbrirecolorat1">
    <w:name w:val="Umbrire colorată1"/>
    <w:basedOn w:val="TabelNormal"/>
    <w:next w:val="Umbrirecolorat"/>
    <w:uiPriority w:val="71"/>
    <w:rsid w:val="00653202"/>
    <w:pPr>
      <w:spacing w:after="0" w:line="240" w:lineRule="auto"/>
    </w:pPr>
    <w:rPr>
      <w:rFonts w:eastAsia="Times New Roman"/>
      <w:color w:val="000000"/>
      <w:kern w:val="0"/>
    </w:rPr>
    <w:tblPr>
      <w:tblStyleRowBandSize w:val="1"/>
      <w:tblStyleColBandSize w:val="1"/>
      <w:tblInd w:w="0" w:type="dxa"/>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Umbrirecolorat-Accentuare11">
    <w:name w:val="Umbrire colorată - Accentuare 11"/>
    <w:basedOn w:val="TabelNormal"/>
    <w:next w:val="Umbrirecolorat-Accentuare1"/>
    <w:uiPriority w:val="71"/>
    <w:rsid w:val="00653202"/>
    <w:pPr>
      <w:spacing w:after="0" w:line="240" w:lineRule="auto"/>
    </w:pPr>
    <w:rPr>
      <w:rFonts w:eastAsia="Times New Roman"/>
      <w:color w:val="000000"/>
      <w:kern w:val="0"/>
    </w:rPr>
    <w:tblPr>
      <w:tblStyleRowBandSize w:val="1"/>
      <w:tblStyleColBandSize w:val="1"/>
      <w:tblInd w:w="0" w:type="dxa"/>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CellMar>
        <w:top w:w="0" w:type="dxa"/>
        <w:left w:w="108" w:type="dxa"/>
        <w:bottom w:w="0" w:type="dxa"/>
        <w:right w:w="108" w:type="dxa"/>
      </w:tblCellMar>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Umbrirecolorat-Accentuare21">
    <w:name w:val="Umbrire colorată - Accentuare 21"/>
    <w:basedOn w:val="TabelNormal"/>
    <w:next w:val="Umbrirecolorat-Accentuare2"/>
    <w:uiPriority w:val="71"/>
    <w:rsid w:val="00653202"/>
    <w:pPr>
      <w:spacing w:after="0" w:line="240" w:lineRule="auto"/>
    </w:pPr>
    <w:rPr>
      <w:rFonts w:eastAsia="Times New Roman"/>
      <w:color w:val="000000"/>
      <w:kern w:val="0"/>
    </w:rPr>
    <w:tblPr>
      <w:tblStyleRowBandSize w:val="1"/>
      <w:tblStyleColBandSize w:val="1"/>
      <w:tblInd w:w="0" w:type="dxa"/>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CellMar>
        <w:top w:w="0" w:type="dxa"/>
        <w:left w:w="108" w:type="dxa"/>
        <w:bottom w:w="0" w:type="dxa"/>
        <w:right w:w="108" w:type="dxa"/>
      </w:tblCellMar>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Umbrirecolorat-Accentuare31">
    <w:name w:val="Umbrire colorată - Accentuare 31"/>
    <w:basedOn w:val="TabelNormal"/>
    <w:next w:val="Umbrirecolorat-Accentuare3"/>
    <w:uiPriority w:val="71"/>
    <w:rsid w:val="00653202"/>
    <w:pPr>
      <w:spacing w:after="0" w:line="240" w:lineRule="auto"/>
    </w:pPr>
    <w:rPr>
      <w:rFonts w:eastAsia="Times New Roman"/>
      <w:color w:val="000000"/>
      <w:kern w:val="0"/>
    </w:rPr>
    <w:tblPr>
      <w:tblStyleRowBandSize w:val="1"/>
      <w:tblStyleColBandSize w:val="1"/>
      <w:tblInd w:w="0" w:type="dxa"/>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CellMar>
        <w:top w:w="0" w:type="dxa"/>
        <w:left w:w="108" w:type="dxa"/>
        <w:bottom w:w="0" w:type="dxa"/>
        <w:right w:w="108" w:type="dxa"/>
      </w:tblCellMar>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Umbrirecolorat-Accentuare41">
    <w:name w:val="Umbrire colorată - Accentuare 41"/>
    <w:basedOn w:val="TabelNormal"/>
    <w:next w:val="Umbrirecolorat-Accentuare4"/>
    <w:uiPriority w:val="71"/>
    <w:rsid w:val="00653202"/>
    <w:pPr>
      <w:spacing w:after="0" w:line="240" w:lineRule="auto"/>
    </w:pPr>
    <w:rPr>
      <w:rFonts w:eastAsia="Times New Roman"/>
      <w:color w:val="000000"/>
      <w:kern w:val="0"/>
    </w:rPr>
    <w:tblPr>
      <w:tblStyleRowBandSize w:val="1"/>
      <w:tblStyleColBandSize w:val="1"/>
      <w:tblInd w:w="0" w:type="dxa"/>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CellMar>
        <w:top w:w="0" w:type="dxa"/>
        <w:left w:w="108" w:type="dxa"/>
        <w:bottom w:w="0" w:type="dxa"/>
        <w:right w:w="108" w:type="dxa"/>
      </w:tblCellMar>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Umbrirecolorat-Accentuare51">
    <w:name w:val="Umbrire colorată - Accentuare 51"/>
    <w:basedOn w:val="TabelNormal"/>
    <w:next w:val="Umbrirecolorat-Accentuare5"/>
    <w:uiPriority w:val="71"/>
    <w:rsid w:val="00653202"/>
    <w:pPr>
      <w:spacing w:after="0" w:line="240" w:lineRule="auto"/>
    </w:pPr>
    <w:rPr>
      <w:rFonts w:eastAsia="Times New Roman"/>
      <w:color w:val="000000"/>
      <w:kern w:val="0"/>
    </w:rPr>
    <w:tblPr>
      <w:tblStyleRowBandSize w:val="1"/>
      <w:tblStyleColBandSize w:val="1"/>
      <w:tblInd w:w="0" w:type="dxa"/>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CellMar>
        <w:top w:w="0" w:type="dxa"/>
        <w:left w:w="108" w:type="dxa"/>
        <w:bottom w:w="0" w:type="dxa"/>
        <w:right w:w="108" w:type="dxa"/>
      </w:tblCellMar>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Umbrirecolorat-Accentuare61">
    <w:name w:val="Umbrire colorată - Accentuare 61"/>
    <w:basedOn w:val="TabelNormal"/>
    <w:next w:val="Umbrirecolorat-Accentuare6"/>
    <w:uiPriority w:val="71"/>
    <w:rsid w:val="00653202"/>
    <w:pPr>
      <w:spacing w:after="0" w:line="240" w:lineRule="auto"/>
    </w:pPr>
    <w:rPr>
      <w:rFonts w:eastAsia="Times New Roman"/>
      <w:color w:val="000000"/>
      <w:kern w:val="0"/>
    </w:rPr>
    <w:tblPr>
      <w:tblStyleRowBandSize w:val="1"/>
      <w:tblStyleColBandSize w:val="1"/>
      <w:tblInd w:w="0" w:type="dxa"/>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CellMar>
        <w:top w:w="0" w:type="dxa"/>
        <w:left w:w="108" w:type="dxa"/>
        <w:bottom w:w="0" w:type="dxa"/>
        <w:right w:w="108" w:type="dxa"/>
      </w:tblCellMar>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Listcolorat1">
    <w:name w:val="Listă colorată1"/>
    <w:basedOn w:val="TabelNormal"/>
    <w:next w:val="Listcolorat"/>
    <w:uiPriority w:val="72"/>
    <w:rsid w:val="00653202"/>
    <w:pPr>
      <w:spacing w:after="0" w:line="240" w:lineRule="auto"/>
    </w:pPr>
    <w:rPr>
      <w:rFonts w:eastAsia="Times New Roman"/>
      <w:color w:val="000000"/>
      <w:kern w:val="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stcolorat-Accentuare11">
    <w:name w:val="Listă colorată - Accentuare 11"/>
    <w:basedOn w:val="TabelNormal"/>
    <w:next w:val="Listcolorat-Accentuare1"/>
    <w:uiPriority w:val="72"/>
    <w:rsid w:val="00653202"/>
    <w:pPr>
      <w:spacing w:after="0" w:line="240" w:lineRule="auto"/>
    </w:pPr>
    <w:rPr>
      <w:rFonts w:eastAsia="Times New Roman"/>
      <w:color w:val="000000"/>
      <w:kern w:val="0"/>
    </w:rPr>
    <w:tblPr>
      <w:tblStyleRowBandSize w:val="1"/>
      <w:tblStyleColBandSize w:val="1"/>
      <w:tblInd w:w="0" w:type="dxa"/>
      <w:tblCellMar>
        <w:top w:w="0" w:type="dxa"/>
        <w:left w:w="108" w:type="dxa"/>
        <w:bottom w:w="0" w:type="dxa"/>
        <w:right w:w="108" w:type="dxa"/>
      </w:tblCellMar>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Listcolorat-Accentuare21">
    <w:name w:val="Listă colorată - Accentuare 21"/>
    <w:basedOn w:val="TabelNormal"/>
    <w:next w:val="Listcolorat-Accentuare2"/>
    <w:uiPriority w:val="72"/>
    <w:rsid w:val="00653202"/>
    <w:pPr>
      <w:spacing w:after="0" w:line="240" w:lineRule="auto"/>
    </w:pPr>
    <w:rPr>
      <w:rFonts w:eastAsia="Times New Roman"/>
      <w:color w:val="000000"/>
      <w:kern w:val="0"/>
    </w:rPr>
    <w:tblPr>
      <w:tblStyleRowBandSize w:val="1"/>
      <w:tblStyleColBandSize w:val="1"/>
      <w:tblInd w:w="0" w:type="dxa"/>
      <w:tblCellMar>
        <w:top w:w="0" w:type="dxa"/>
        <w:left w:w="108" w:type="dxa"/>
        <w:bottom w:w="0" w:type="dxa"/>
        <w:right w:w="108" w:type="dxa"/>
      </w:tblCellMar>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Listcolorat-Accentuare31">
    <w:name w:val="Listă colorată - Accentuare 31"/>
    <w:basedOn w:val="TabelNormal"/>
    <w:next w:val="Listcolorat-Accentuare3"/>
    <w:uiPriority w:val="72"/>
    <w:rsid w:val="00653202"/>
    <w:pPr>
      <w:spacing w:after="0" w:line="240" w:lineRule="auto"/>
    </w:pPr>
    <w:rPr>
      <w:rFonts w:eastAsia="Times New Roman"/>
      <w:color w:val="000000"/>
      <w:kern w:val="0"/>
    </w:rPr>
    <w:tblPr>
      <w:tblStyleRowBandSize w:val="1"/>
      <w:tblStyleColBandSize w:val="1"/>
      <w:tblInd w:w="0" w:type="dxa"/>
      <w:tblCellMar>
        <w:top w:w="0" w:type="dxa"/>
        <w:left w:w="108" w:type="dxa"/>
        <w:bottom w:w="0" w:type="dxa"/>
        <w:right w:w="108" w:type="dxa"/>
      </w:tblCellMar>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Listcolorat-Accentuare41">
    <w:name w:val="Listă colorată - Accentuare 41"/>
    <w:basedOn w:val="TabelNormal"/>
    <w:next w:val="Listcolorat-Accentuare4"/>
    <w:uiPriority w:val="72"/>
    <w:rsid w:val="00653202"/>
    <w:pPr>
      <w:spacing w:after="0" w:line="240" w:lineRule="auto"/>
    </w:pPr>
    <w:rPr>
      <w:rFonts w:eastAsia="Times New Roman"/>
      <w:color w:val="000000"/>
      <w:kern w:val="0"/>
    </w:rPr>
    <w:tblPr>
      <w:tblStyleRowBandSize w:val="1"/>
      <w:tblStyleColBandSize w:val="1"/>
      <w:tblInd w:w="0" w:type="dxa"/>
      <w:tblCellMar>
        <w:top w:w="0" w:type="dxa"/>
        <w:left w:w="108" w:type="dxa"/>
        <w:bottom w:w="0" w:type="dxa"/>
        <w:right w:w="108" w:type="dxa"/>
      </w:tblCellMar>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Listcolorat-Accentuare51">
    <w:name w:val="Listă colorată - Accentuare 51"/>
    <w:basedOn w:val="TabelNormal"/>
    <w:next w:val="Listcolorat-Accentuare5"/>
    <w:uiPriority w:val="72"/>
    <w:rsid w:val="00653202"/>
    <w:pPr>
      <w:spacing w:after="0" w:line="240" w:lineRule="auto"/>
    </w:pPr>
    <w:rPr>
      <w:rFonts w:eastAsia="Times New Roman"/>
      <w:color w:val="000000"/>
      <w:kern w:val="0"/>
    </w:rPr>
    <w:tblPr>
      <w:tblStyleRowBandSize w:val="1"/>
      <w:tblStyleColBandSize w:val="1"/>
      <w:tblInd w:w="0" w:type="dxa"/>
      <w:tblCellMar>
        <w:top w:w="0" w:type="dxa"/>
        <w:left w:w="108" w:type="dxa"/>
        <w:bottom w:w="0" w:type="dxa"/>
        <w:right w:w="108" w:type="dxa"/>
      </w:tblCellMar>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Listcolorat-Accentuare61">
    <w:name w:val="Listă colorată - Accentuare 61"/>
    <w:basedOn w:val="TabelNormal"/>
    <w:next w:val="Listcolorat-Accentuare6"/>
    <w:uiPriority w:val="72"/>
    <w:rsid w:val="00653202"/>
    <w:pPr>
      <w:spacing w:after="0" w:line="240" w:lineRule="auto"/>
    </w:pPr>
    <w:rPr>
      <w:rFonts w:eastAsia="Times New Roman"/>
      <w:color w:val="000000"/>
      <w:kern w:val="0"/>
    </w:rPr>
    <w:tblPr>
      <w:tblStyleRowBandSize w:val="1"/>
      <w:tblStyleColBandSize w:val="1"/>
      <w:tblInd w:w="0" w:type="dxa"/>
      <w:tblCellMar>
        <w:top w:w="0" w:type="dxa"/>
        <w:left w:w="108" w:type="dxa"/>
        <w:bottom w:w="0" w:type="dxa"/>
        <w:right w:w="108" w:type="dxa"/>
      </w:tblCellMar>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Grilcolorat1">
    <w:name w:val="Grilă colorată1"/>
    <w:basedOn w:val="TabelNormal"/>
    <w:next w:val="Grilcolorat"/>
    <w:uiPriority w:val="73"/>
    <w:rsid w:val="00653202"/>
    <w:pPr>
      <w:spacing w:after="0" w:line="240" w:lineRule="auto"/>
    </w:pPr>
    <w:rPr>
      <w:rFonts w:eastAsia="Times New Roman"/>
      <w:color w:val="000000"/>
      <w:kern w:val="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Grilcolorat-Accentuare11">
    <w:name w:val="Grilă colorată - Accentuare 11"/>
    <w:basedOn w:val="TabelNormal"/>
    <w:next w:val="Grilcolorat-Accentuare1"/>
    <w:uiPriority w:val="73"/>
    <w:rsid w:val="00653202"/>
    <w:pPr>
      <w:spacing w:after="0" w:line="240" w:lineRule="auto"/>
    </w:pPr>
    <w:rPr>
      <w:rFonts w:eastAsia="Times New Roman"/>
      <w:color w:val="000000"/>
      <w:kern w:val="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Grilcolorat-Accentuare21">
    <w:name w:val="Grilă colorată - Accentuare 21"/>
    <w:basedOn w:val="TabelNormal"/>
    <w:next w:val="Grilcolorat-Accentuare2"/>
    <w:uiPriority w:val="73"/>
    <w:rsid w:val="00653202"/>
    <w:pPr>
      <w:spacing w:after="0" w:line="240" w:lineRule="auto"/>
    </w:pPr>
    <w:rPr>
      <w:rFonts w:eastAsia="Times New Roman"/>
      <w:color w:val="000000"/>
      <w:kern w:val="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Grilcolorat-Accentuare31">
    <w:name w:val="Grilă colorată - Accentuare 31"/>
    <w:basedOn w:val="TabelNormal"/>
    <w:next w:val="Grilcolorat-Accentuare3"/>
    <w:uiPriority w:val="73"/>
    <w:rsid w:val="00653202"/>
    <w:pPr>
      <w:spacing w:after="0" w:line="240" w:lineRule="auto"/>
    </w:pPr>
    <w:rPr>
      <w:rFonts w:eastAsia="Times New Roman"/>
      <w:color w:val="000000"/>
      <w:kern w:val="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Grilcolorat-Accentuare41">
    <w:name w:val="Grilă colorată - Accentuare 41"/>
    <w:basedOn w:val="TabelNormal"/>
    <w:next w:val="Grilcolorat-Accentuare4"/>
    <w:uiPriority w:val="73"/>
    <w:rsid w:val="00653202"/>
    <w:pPr>
      <w:spacing w:after="0" w:line="240" w:lineRule="auto"/>
    </w:pPr>
    <w:rPr>
      <w:rFonts w:eastAsia="Times New Roman"/>
      <w:color w:val="000000"/>
      <w:kern w:val="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Grilcolorat-Accentuare51">
    <w:name w:val="Grilă colorată - Accentuare 51"/>
    <w:basedOn w:val="TabelNormal"/>
    <w:next w:val="Grilcolorat-Accentuare5"/>
    <w:uiPriority w:val="73"/>
    <w:rsid w:val="00653202"/>
    <w:pPr>
      <w:spacing w:after="0" w:line="240" w:lineRule="auto"/>
    </w:pPr>
    <w:rPr>
      <w:rFonts w:eastAsia="Times New Roman"/>
      <w:color w:val="000000"/>
      <w:kern w:val="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Grilcolorat-Accentuare61">
    <w:name w:val="Grilă colorată - Accentuare 61"/>
    <w:basedOn w:val="TabelNormal"/>
    <w:next w:val="Grilcolorat-Accentuare6"/>
    <w:uiPriority w:val="73"/>
    <w:rsid w:val="00653202"/>
    <w:pPr>
      <w:spacing w:after="0" w:line="240" w:lineRule="auto"/>
    </w:pPr>
    <w:rPr>
      <w:rFonts w:eastAsia="Times New Roman"/>
      <w:color w:val="000000"/>
      <w:kern w:val="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paragraph" w:customStyle="1" w:styleId="font-claude-response-body">
    <w:name w:val="font-claude-response-body"/>
    <w:basedOn w:val="Normal"/>
    <w:rsid w:val="00653202"/>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HyperlinkParcurs1">
    <w:name w:val="HyperlinkParcurs1"/>
    <w:basedOn w:val="Fontdeparagrafimplicit"/>
    <w:uiPriority w:val="99"/>
    <w:semiHidden/>
    <w:unhideWhenUsed/>
    <w:rsid w:val="00653202"/>
    <w:rPr>
      <w:color w:val="96607D"/>
      <w:u w:val="single"/>
    </w:rPr>
  </w:style>
  <w:style w:type="paragraph" w:styleId="Frspaiere">
    <w:name w:val="No Spacing"/>
    <w:uiPriority w:val="1"/>
    <w:qFormat/>
    <w:rsid w:val="00653202"/>
    <w:pPr>
      <w:spacing w:after="0" w:line="240" w:lineRule="auto"/>
    </w:pPr>
  </w:style>
  <w:style w:type="paragraph" w:styleId="Corptext">
    <w:name w:val="Body Text"/>
    <w:basedOn w:val="Normal"/>
    <w:link w:val="CorptextCaracter1"/>
    <w:uiPriority w:val="99"/>
    <w:semiHidden/>
    <w:unhideWhenUsed/>
    <w:rsid w:val="00653202"/>
    <w:pPr>
      <w:spacing w:after="120"/>
    </w:pPr>
  </w:style>
  <w:style w:type="character" w:customStyle="1" w:styleId="CorptextCaracter1">
    <w:name w:val="Corp text Caracter1"/>
    <w:basedOn w:val="Fontdeparagrafimplicit"/>
    <w:link w:val="Corptext"/>
    <w:uiPriority w:val="99"/>
    <w:semiHidden/>
    <w:rsid w:val="00653202"/>
  </w:style>
  <w:style w:type="paragraph" w:styleId="Corptext2">
    <w:name w:val="Body Text 2"/>
    <w:basedOn w:val="Normal"/>
    <w:link w:val="Corptext2Caracter1"/>
    <w:uiPriority w:val="99"/>
    <w:semiHidden/>
    <w:unhideWhenUsed/>
    <w:rsid w:val="00653202"/>
    <w:pPr>
      <w:spacing w:after="120" w:line="480" w:lineRule="auto"/>
    </w:pPr>
  </w:style>
  <w:style w:type="character" w:customStyle="1" w:styleId="Corptext2Caracter1">
    <w:name w:val="Corp text 2 Caracter1"/>
    <w:basedOn w:val="Fontdeparagrafimplicit"/>
    <w:link w:val="Corptext2"/>
    <w:uiPriority w:val="99"/>
    <w:semiHidden/>
    <w:rsid w:val="00653202"/>
  </w:style>
  <w:style w:type="paragraph" w:styleId="Corptext3">
    <w:name w:val="Body Text 3"/>
    <w:basedOn w:val="Normal"/>
    <w:link w:val="Corptext3Caracter1"/>
    <w:uiPriority w:val="99"/>
    <w:semiHidden/>
    <w:unhideWhenUsed/>
    <w:rsid w:val="00653202"/>
    <w:pPr>
      <w:spacing w:after="120"/>
    </w:pPr>
    <w:rPr>
      <w:sz w:val="16"/>
      <w:szCs w:val="16"/>
    </w:rPr>
  </w:style>
  <w:style w:type="character" w:customStyle="1" w:styleId="Corptext3Caracter1">
    <w:name w:val="Corp text 3 Caracter1"/>
    <w:basedOn w:val="Fontdeparagrafimplicit"/>
    <w:link w:val="Corptext3"/>
    <w:uiPriority w:val="99"/>
    <w:semiHidden/>
    <w:rsid w:val="00653202"/>
    <w:rPr>
      <w:sz w:val="16"/>
      <w:szCs w:val="16"/>
    </w:rPr>
  </w:style>
  <w:style w:type="paragraph" w:styleId="List">
    <w:name w:val="List"/>
    <w:basedOn w:val="Normal"/>
    <w:uiPriority w:val="99"/>
    <w:semiHidden/>
    <w:unhideWhenUsed/>
    <w:rsid w:val="00653202"/>
    <w:pPr>
      <w:ind w:left="283" w:hanging="283"/>
      <w:contextualSpacing/>
    </w:pPr>
  </w:style>
  <w:style w:type="paragraph" w:styleId="Lista2">
    <w:name w:val="List 2"/>
    <w:basedOn w:val="Normal"/>
    <w:uiPriority w:val="99"/>
    <w:semiHidden/>
    <w:unhideWhenUsed/>
    <w:rsid w:val="00653202"/>
    <w:pPr>
      <w:ind w:left="566" w:hanging="283"/>
      <w:contextualSpacing/>
    </w:pPr>
  </w:style>
  <w:style w:type="paragraph" w:styleId="Lista3">
    <w:name w:val="List 3"/>
    <w:basedOn w:val="Normal"/>
    <w:uiPriority w:val="99"/>
    <w:semiHidden/>
    <w:unhideWhenUsed/>
    <w:rsid w:val="00653202"/>
    <w:pPr>
      <w:ind w:left="849" w:hanging="283"/>
      <w:contextualSpacing/>
    </w:pPr>
  </w:style>
  <w:style w:type="paragraph" w:styleId="Listcumarcatori">
    <w:name w:val="List Bullet"/>
    <w:basedOn w:val="Normal"/>
    <w:uiPriority w:val="99"/>
    <w:semiHidden/>
    <w:unhideWhenUsed/>
    <w:rsid w:val="00653202"/>
    <w:pPr>
      <w:numPr>
        <w:numId w:val="1"/>
      </w:numPr>
      <w:contextualSpacing/>
    </w:pPr>
  </w:style>
  <w:style w:type="paragraph" w:styleId="Listacumarcatori2">
    <w:name w:val="List Bullet 2"/>
    <w:basedOn w:val="Normal"/>
    <w:uiPriority w:val="99"/>
    <w:semiHidden/>
    <w:unhideWhenUsed/>
    <w:rsid w:val="00653202"/>
    <w:pPr>
      <w:numPr>
        <w:numId w:val="2"/>
      </w:numPr>
      <w:contextualSpacing/>
    </w:pPr>
  </w:style>
  <w:style w:type="paragraph" w:styleId="Listacumarcatori3">
    <w:name w:val="List Bullet 3"/>
    <w:basedOn w:val="Normal"/>
    <w:uiPriority w:val="99"/>
    <w:semiHidden/>
    <w:unhideWhenUsed/>
    <w:rsid w:val="00653202"/>
    <w:pPr>
      <w:numPr>
        <w:numId w:val="3"/>
      </w:numPr>
      <w:contextualSpacing/>
    </w:pPr>
  </w:style>
  <w:style w:type="paragraph" w:styleId="Listnumerotat">
    <w:name w:val="List Number"/>
    <w:basedOn w:val="Normal"/>
    <w:uiPriority w:val="99"/>
    <w:semiHidden/>
    <w:unhideWhenUsed/>
    <w:rsid w:val="00653202"/>
    <w:pPr>
      <w:numPr>
        <w:numId w:val="4"/>
      </w:numPr>
      <w:contextualSpacing/>
    </w:pPr>
  </w:style>
  <w:style w:type="paragraph" w:styleId="Listanumerotat2">
    <w:name w:val="List Number 2"/>
    <w:basedOn w:val="Normal"/>
    <w:uiPriority w:val="99"/>
    <w:semiHidden/>
    <w:unhideWhenUsed/>
    <w:rsid w:val="00653202"/>
    <w:pPr>
      <w:numPr>
        <w:numId w:val="5"/>
      </w:numPr>
      <w:contextualSpacing/>
    </w:pPr>
  </w:style>
  <w:style w:type="paragraph" w:styleId="Listanumerotat3">
    <w:name w:val="List Number 3"/>
    <w:basedOn w:val="Normal"/>
    <w:uiPriority w:val="99"/>
    <w:semiHidden/>
    <w:unhideWhenUsed/>
    <w:rsid w:val="00653202"/>
    <w:pPr>
      <w:numPr>
        <w:numId w:val="6"/>
      </w:numPr>
      <w:contextualSpacing/>
    </w:pPr>
  </w:style>
  <w:style w:type="paragraph" w:styleId="Listcontinuare">
    <w:name w:val="List Continue"/>
    <w:basedOn w:val="Normal"/>
    <w:uiPriority w:val="99"/>
    <w:semiHidden/>
    <w:unhideWhenUsed/>
    <w:rsid w:val="00653202"/>
    <w:pPr>
      <w:spacing w:after="120"/>
      <w:ind w:left="283"/>
      <w:contextualSpacing/>
    </w:pPr>
  </w:style>
  <w:style w:type="paragraph" w:styleId="Listcontinuare2">
    <w:name w:val="List Continue 2"/>
    <w:basedOn w:val="Normal"/>
    <w:uiPriority w:val="99"/>
    <w:semiHidden/>
    <w:unhideWhenUsed/>
    <w:rsid w:val="00653202"/>
    <w:pPr>
      <w:spacing w:after="120"/>
      <w:ind w:left="566"/>
      <w:contextualSpacing/>
    </w:pPr>
  </w:style>
  <w:style w:type="paragraph" w:styleId="Listcontinuare3">
    <w:name w:val="List Continue 3"/>
    <w:basedOn w:val="Normal"/>
    <w:uiPriority w:val="99"/>
    <w:semiHidden/>
    <w:unhideWhenUsed/>
    <w:rsid w:val="00653202"/>
    <w:pPr>
      <w:spacing w:after="120"/>
      <w:ind w:left="849"/>
      <w:contextualSpacing/>
    </w:pPr>
  </w:style>
  <w:style w:type="paragraph" w:styleId="Textmacrocomand">
    <w:name w:val="macro"/>
    <w:link w:val="TextmacrocomandCaracter1"/>
    <w:uiPriority w:val="99"/>
    <w:semiHidden/>
    <w:unhideWhenUsed/>
    <w:rsid w:val="0065320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macrocomandCaracter1">
    <w:name w:val="Text macrocomandă Caracter1"/>
    <w:basedOn w:val="Fontdeparagrafimplicit"/>
    <w:link w:val="Textmacrocomand"/>
    <w:uiPriority w:val="99"/>
    <w:semiHidden/>
    <w:rsid w:val="00653202"/>
    <w:rPr>
      <w:rFonts w:ascii="Consolas" w:hAnsi="Consolas"/>
      <w:sz w:val="20"/>
      <w:szCs w:val="20"/>
    </w:rPr>
  </w:style>
  <w:style w:type="character" w:styleId="Accentuaresubtil">
    <w:name w:val="Subtle Emphasis"/>
    <w:basedOn w:val="Fontdeparagrafimplicit"/>
    <w:uiPriority w:val="19"/>
    <w:qFormat/>
    <w:rsid w:val="00653202"/>
    <w:rPr>
      <w:i/>
      <w:iCs/>
      <w:color w:val="404040" w:themeColor="text1" w:themeTint="BF"/>
    </w:rPr>
  </w:style>
  <w:style w:type="character" w:styleId="Referiresubtil">
    <w:name w:val="Subtle Reference"/>
    <w:basedOn w:val="Fontdeparagrafimplicit"/>
    <w:uiPriority w:val="31"/>
    <w:qFormat/>
    <w:rsid w:val="00653202"/>
    <w:rPr>
      <w:smallCaps/>
      <w:color w:val="5A5A5A" w:themeColor="text1" w:themeTint="A5"/>
    </w:rPr>
  </w:style>
  <w:style w:type="table" w:styleId="GrilTabel">
    <w:name w:val="Table Grid"/>
    <w:basedOn w:val="TabelNormal"/>
    <w:uiPriority w:val="39"/>
    <w:rsid w:val="006532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Umbriredeculoaredeschis">
    <w:name w:val="Light Shading"/>
    <w:basedOn w:val="TabelNormal"/>
    <w:uiPriority w:val="60"/>
    <w:semiHidden/>
    <w:unhideWhenUsed/>
    <w:rsid w:val="0065320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semiHidden/>
    <w:unhideWhenUsed/>
    <w:rsid w:val="00653202"/>
    <w:pPr>
      <w:spacing w:after="0" w:line="240" w:lineRule="auto"/>
    </w:pPr>
    <w:rPr>
      <w:color w:val="0F4761" w:themeColor="accent1" w:themeShade="BF"/>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Umbriredeculoaredeschis-Accentuare2">
    <w:name w:val="Light Shading Accent 2"/>
    <w:basedOn w:val="TabelNormal"/>
    <w:uiPriority w:val="60"/>
    <w:semiHidden/>
    <w:unhideWhenUsed/>
    <w:rsid w:val="00653202"/>
    <w:pPr>
      <w:spacing w:after="0" w:line="240" w:lineRule="auto"/>
    </w:pPr>
    <w:rPr>
      <w:color w:val="BF4E14" w:themeColor="accent2" w:themeShade="BF"/>
    </w:rPr>
    <w:tblPr>
      <w:tblStyleRowBandSize w:val="1"/>
      <w:tblStyleColBandSize w:val="1"/>
      <w:tblInd w:w="0" w:type="dxa"/>
      <w:tblBorders>
        <w:top w:val="single" w:sz="8" w:space="0" w:color="E97132" w:themeColor="accent2"/>
        <w:bottom w:val="single" w:sz="8" w:space="0" w:color="E9713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Umbriredeculoaredeschis-Accentuare3">
    <w:name w:val="Light Shading Accent 3"/>
    <w:basedOn w:val="TabelNormal"/>
    <w:uiPriority w:val="60"/>
    <w:semiHidden/>
    <w:unhideWhenUsed/>
    <w:rsid w:val="00653202"/>
    <w:pPr>
      <w:spacing w:after="0" w:line="240" w:lineRule="auto"/>
    </w:pPr>
    <w:rPr>
      <w:color w:val="124F1A" w:themeColor="accent3" w:themeShade="BF"/>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Umbriredeculoaredeschis-Accentuare4">
    <w:name w:val="Light Shading Accent 4"/>
    <w:basedOn w:val="TabelNormal"/>
    <w:uiPriority w:val="60"/>
    <w:semiHidden/>
    <w:unhideWhenUsed/>
    <w:rsid w:val="00653202"/>
    <w:pPr>
      <w:spacing w:after="0" w:line="240" w:lineRule="auto"/>
    </w:pPr>
    <w:rPr>
      <w:color w:val="0B769F" w:themeColor="accent4" w:themeShade="BF"/>
    </w:rPr>
    <w:tblPr>
      <w:tblStyleRowBandSize w:val="1"/>
      <w:tblStyleColBandSize w:val="1"/>
      <w:tblInd w:w="0" w:type="dxa"/>
      <w:tblBorders>
        <w:top w:val="single" w:sz="8" w:space="0" w:color="0F9ED5" w:themeColor="accent4"/>
        <w:bottom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Umbriredeculoaredeschis-Accentuare5">
    <w:name w:val="Light Shading Accent 5"/>
    <w:basedOn w:val="TabelNormal"/>
    <w:uiPriority w:val="60"/>
    <w:semiHidden/>
    <w:unhideWhenUsed/>
    <w:rsid w:val="00653202"/>
    <w:pPr>
      <w:spacing w:after="0" w:line="240" w:lineRule="auto"/>
    </w:pPr>
    <w:rPr>
      <w:color w:val="77206D" w:themeColor="accent5" w:themeShade="BF"/>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Umbriredeculoaredeschis-Accentuare6">
    <w:name w:val="Light Shading Accent 6"/>
    <w:basedOn w:val="TabelNormal"/>
    <w:uiPriority w:val="60"/>
    <w:semiHidden/>
    <w:unhideWhenUsed/>
    <w:rsid w:val="00653202"/>
    <w:pPr>
      <w:spacing w:after="0" w:line="240" w:lineRule="auto"/>
    </w:pPr>
    <w:rPr>
      <w:color w:val="3A7C22" w:themeColor="accent6" w:themeShade="BF"/>
    </w:rPr>
    <w:tblPr>
      <w:tblStyleRowBandSize w:val="1"/>
      <w:tblStyleColBandSize w:val="1"/>
      <w:tblInd w:w="0" w:type="dxa"/>
      <w:tblBorders>
        <w:top w:val="single" w:sz="8" w:space="0" w:color="4EA72E" w:themeColor="accent6"/>
        <w:bottom w:val="single" w:sz="8" w:space="0" w:color="4EA72E"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deculoaredeschis">
    <w:name w:val="Light List"/>
    <w:basedOn w:val="TabelNormal"/>
    <w:uiPriority w:val="61"/>
    <w:semiHidden/>
    <w:unhideWhenUsed/>
    <w:rsid w:val="0065320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semiHidden/>
    <w:unhideWhenUsed/>
    <w:rsid w:val="00653202"/>
    <w:pPr>
      <w:spacing w:after="0" w:line="240" w:lineRule="auto"/>
    </w:p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stdeculoaredeschis-Accentuare2">
    <w:name w:val="Light List Accent 2"/>
    <w:basedOn w:val="TabelNormal"/>
    <w:uiPriority w:val="61"/>
    <w:semiHidden/>
    <w:unhideWhenUsed/>
    <w:rsid w:val="00653202"/>
    <w:pPr>
      <w:spacing w:after="0" w:line="240" w:lineRule="auto"/>
    </w:p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stdeculoaredeschis-Accentuare3">
    <w:name w:val="Light List Accent 3"/>
    <w:basedOn w:val="TabelNormal"/>
    <w:uiPriority w:val="61"/>
    <w:semiHidden/>
    <w:unhideWhenUsed/>
    <w:rsid w:val="00653202"/>
    <w:pPr>
      <w:spacing w:after="0" w:line="240" w:lineRule="auto"/>
    </w:p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stdeculoaredeschis-Accentuare4">
    <w:name w:val="Light List Accent 4"/>
    <w:basedOn w:val="TabelNormal"/>
    <w:uiPriority w:val="61"/>
    <w:semiHidden/>
    <w:unhideWhenUsed/>
    <w:rsid w:val="00653202"/>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stdeculoaredeschis-Accentuare5">
    <w:name w:val="Light List Accent 5"/>
    <w:basedOn w:val="TabelNormal"/>
    <w:uiPriority w:val="61"/>
    <w:semiHidden/>
    <w:unhideWhenUsed/>
    <w:rsid w:val="00653202"/>
    <w:pPr>
      <w:spacing w:after="0" w:line="240" w:lineRule="auto"/>
    </w:p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stdeculoaredeschis-Accentuare6">
    <w:name w:val="Light List Accent 6"/>
    <w:basedOn w:val="TabelNormal"/>
    <w:uiPriority w:val="61"/>
    <w:semiHidden/>
    <w:unhideWhenUsed/>
    <w:rsid w:val="00653202"/>
    <w:pPr>
      <w:spacing w:after="0" w:line="240" w:lineRule="auto"/>
    </w:p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Grildeculoaredeschis">
    <w:name w:val="Light Grid"/>
    <w:basedOn w:val="TabelNormal"/>
    <w:uiPriority w:val="62"/>
    <w:semiHidden/>
    <w:unhideWhenUsed/>
    <w:rsid w:val="0065320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semiHidden/>
    <w:unhideWhenUsed/>
    <w:rsid w:val="00653202"/>
    <w:pPr>
      <w:spacing w:after="0" w:line="240" w:lineRule="auto"/>
    </w:p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Grildeculoaredeschis-Accentuare2">
    <w:name w:val="Light Grid Accent 2"/>
    <w:basedOn w:val="TabelNormal"/>
    <w:uiPriority w:val="62"/>
    <w:semiHidden/>
    <w:unhideWhenUsed/>
    <w:rsid w:val="00653202"/>
    <w:pPr>
      <w:spacing w:after="0" w:line="240" w:lineRule="auto"/>
    </w:p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Grildeculoaredeschis-Accentuare3">
    <w:name w:val="Light Grid Accent 3"/>
    <w:basedOn w:val="TabelNormal"/>
    <w:uiPriority w:val="62"/>
    <w:semiHidden/>
    <w:unhideWhenUsed/>
    <w:rsid w:val="00653202"/>
    <w:pPr>
      <w:spacing w:after="0" w:line="240" w:lineRule="auto"/>
    </w:p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Grildeculoaredeschis-Accentuare4">
    <w:name w:val="Light Grid Accent 4"/>
    <w:basedOn w:val="TabelNormal"/>
    <w:uiPriority w:val="62"/>
    <w:semiHidden/>
    <w:unhideWhenUsed/>
    <w:rsid w:val="00653202"/>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Grildeculoaredeschis-Accentuare5">
    <w:name w:val="Light Grid Accent 5"/>
    <w:basedOn w:val="TabelNormal"/>
    <w:uiPriority w:val="62"/>
    <w:semiHidden/>
    <w:unhideWhenUsed/>
    <w:rsid w:val="00653202"/>
    <w:pPr>
      <w:spacing w:after="0" w:line="240" w:lineRule="auto"/>
    </w:p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Grildeculoaredeschis-Accentuare6">
    <w:name w:val="Light Grid Accent 6"/>
    <w:basedOn w:val="TabelNormal"/>
    <w:uiPriority w:val="62"/>
    <w:semiHidden/>
    <w:unhideWhenUsed/>
    <w:rsid w:val="00653202"/>
    <w:pPr>
      <w:spacing w:after="0" w:line="240" w:lineRule="auto"/>
    </w:p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Umbriremedie1">
    <w:name w:val="Medium Shading 1"/>
    <w:basedOn w:val="TabelNormal"/>
    <w:uiPriority w:val="63"/>
    <w:semiHidden/>
    <w:unhideWhenUsed/>
    <w:rsid w:val="0065320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semiHidden/>
    <w:unhideWhenUsed/>
    <w:rsid w:val="00653202"/>
    <w:pPr>
      <w:spacing w:after="0" w:line="240" w:lineRule="auto"/>
    </w:p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semiHidden/>
    <w:unhideWhenUsed/>
    <w:rsid w:val="00653202"/>
    <w:pPr>
      <w:spacing w:after="0" w:line="240" w:lineRule="auto"/>
    </w:pPr>
    <w:tblPr>
      <w:tblStyleRowBandSize w:val="1"/>
      <w:tblStyleColBandSize w:val="1"/>
      <w:tblInd w:w="0" w:type="dxa"/>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semiHidden/>
    <w:unhideWhenUsed/>
    <w:rsid w:val="00653202"/>
    <w:pPr>
      <w:spacing w:after="0" w:line="240" w:lineRule="auto"/>
    </w:pPr>
    <w:tblPr>
      <w:tblStyleRowBandSize w:val="1"/>
      <w:tblStyleColBandSize w:val="1"/>
      <w:tblInd w:w="0" w:type="dxa"/>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semiHidden/>
    <w:unhideWhenUsed/>
    <w:rsid w:val="00653202"/>
    <w:pPr>
      <w:spacing w:after="0" w:line="240" w:lineRule="auto"/>
    </w:pPr>
    <w:tblPr>
      <w:tblStyleRowBandSize w:val="1"/>
      <w:tblStyleColBandSize w:val="1"/>
      <w:tblInd w:w="0" w:type="dxa"/>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semiHidden/>
    <w:unhideWhenUsed/>
    <w:rsid w:val="00653202"/>
    <w:pPr>
      <w:spacing w:after="0" w:line="240" w:lineRule="auto"/>
    </w:pPr>
    <w:tblPr>
      <w:tblStyleRowBandSize w:val="1"/>
      <w:tblStyleColBandSize w:val="1"/>
      <w:tblInd w:w="0" w:type="dxa"/>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semiHidden/>
    <w:unhideWhenUsed/>
    <w:rsid w:val="00653202"/>
    <w:pPr>
      <w:spacing w:after="0" w:line="240" w:lineRule="auto"/>
    </w:pPr>
    <w:tblPr>
      <w:tblStyleRowBandSize w:val="1"/>
      <w:tblStyleColBandSize w:val="1"/>
      <w:tblInd w:w="0" w:type="dxa"/>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semiHidden/>
    <w:unhideWhenUsed/>
    <w:rsid w:val="006532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semiHidden/>
    <w:unhideWhenUsed/>
    <w:rsid w:val="006532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semiHidden/>
    <w:unhideWhenUsed/>
    <w:rsid w:val="006532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semiHidden/>
    <w:unhideWhenUsed/>
    <w:rsid w:val="006532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semiHidden/>
    <w:unhideWhenUsed/>
    <w:rsid w:val="006532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semiHidden/>
    <w:unhideWhenUsed/>
    <w:rsid w:val="006532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semiHidden/>
    <w:unhideWhenUsed/>
    <w:rsid w:val="0065320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semiHidden/>
    <w:unhideWhenUsed/>
    <w:rsid w:val="0065320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semiHidden/>
    <w:unhideWhenUsed/>
    <w:rsid w:val="00653202"/>
    <w:pPr>
      <w:spacing w:after="0" w:line="240" w:lineRule="auto"/>
    </w:pPr>
    <w:rPr>
      <w:color w:val="000000" w:themeColor="text1"/>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Listmedie1-Accentuare2">
    <w:name w:val="Medium List 1 Accent 2"/>
    <w:basedOn w:val="TabelNormal"/>
    <w:uiPriority w:val="65"/>
    <w:semiHidden/>
    <w:unhideWhenUsed/>
    <w:rsid w:val="00653202"/>
    <w:pPr>
      <w:spacing w:after="0" w:line="240" w:lineRule="auto"/>
    </w:pPr>
    <w:rPr>
      <w:color w:val="000000" w:themeColor="text1"/>
    </w:rPr>
    <w:tblPr>
      <w:tblStyleRowBandSize w:val="1"/>
      <w:tblStyleColBandSize w:val="1"/>
      <w:tblInd w:w="0" w:type="dxa"/>
      <w:tblBorders>
        <w:top w:val="single" w:sz="8" w:space="0" w:color="E97132" w:themeColor="accent2"/>
        <w:bottom w:val="single" w:sz="8" w:space="0" w:color="E97132"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Listmedie1-Accentuare3">
    <w:name w:val="Medium List 1 Accent 3"/>
    <w:basedOn w:val="TabelNormal"/>
    <w:uiPriority w:val="65"/>
    <w:semiHidden/>
    <w:unhideWhenUsed/>
    <w:rsid w:val="00653202"/>
    <w:pPr>
      <w:spacing w:after="0" w:line="240" w:lineRule="auto"/>
    </w:pPr>
    <w:rPr>
      <w:color w:val="000000" w:themeColor="text1"/>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Listmedie1-Accentuare4">
    <w:name w:val="Medium List 1 Accent 4"/>
    <w:basedOn w:val="TabelNormal"/>
    <w:uiPriority w:val="65"/>
    <w:semiHidden/>
    <w:unhideWhenUsed/>
    <w:rsid w:val="00653202"/>
    <w:pPr>
      <w:spacing w:after="0" w:line="240" w:lineRule="auto"/>
    </w:pPr>
    <w:rPr>
      <w:color w:val="000000" w:themeColor="text1"/>
    </w:rPr>
    <w:tblPr>
      <w:tblStyleRowBandSize w:val="1"/>
      <w:tblStyleColBandSize w:val="1"/>
      <w:tblInd w:w="0" w:type="dxa"/>
      <w:tblBorders>
        <w:top w:val="single" w:sz="8" w:space="0" w:color="0F9ED5" w:themeColor="accent4"/>
        <w:bottom w:val="single" w:sz="8" w:space="0" w:color="0F9ED5"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Listmedie1-Accentuare5">
    <w:name w:val="Medium List 1 Accent 5"/>
    <w:basedOn w:val="TabelNormal"/>
    <w:uiPriority w:val="65"/>
    <w:semiHidden/>
    <w:unhideWhenUsed/>
    <w:rsid w:val="00653202"/>
    <w:pPr>
      <w:spacing w:after="0" w:line="240" w:lineRule="auto"/>
    </w:pPr>
    <w:rPr>
      <w:color w:val="000000" w:themeColor="text1"/>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Listmedie1-Accentuare6">
    <w:name w:val="Medium List 1 Accent 6"/>
    <w:basedOn w:val="TabelNormal"/>
    <w:uiPriority w:val="65"/>
    <w:semiHidden/>
    <w:unhideWhenUsed/>
    <w:rsid w:val="00653202"/>
    <w:pPr>
      <w:spacing w:after="0" w:line="240" w:lineRule="auto"/>
    </w:pPr>
    <w:rPr>
      <w:color w:val="000000" w:themeColor="text1"/>
    </w:rPr>
    <w:tblPr>
      <w:tblStyleRowBandSize w:val="1"/>
      <w:tblStyleColBandSize w:val="1"/>
      <w:tblInd w:w="0" w:type="dxa"/>
      <w:tblBorders>
        <w:top w:val="single" w:sz="8" w:space="0" w:color="4EA72E" w:themeColor="accent6"/>
        <w:bottom w:val="single" w:sz="8" w:space="0" w:color="4EA72E"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Listmedie2">
    <w:name w:val="Medium List 2"/>
    <w:basedOn w:val="TabelNormal"/>
    <w:uiPriority w:val="66"/>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semiHidden/>
    <w:unhideWhenUsed/>
    <w:rsid w:val="0065320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semiHidden/>
    <w:unhideWhenUsed/>
    <w:rsid w:val="00653202"/>
    <w:pPr>
      <w:spacing w:after="0" w:line="240" w:lineRule="auto"/>
    </w:p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CellMar>
        <w:top w:w="0" w:type="dxa"/>
        <w:left w:w="108" w:type="dxa"/>
        <w:bottom w:w="0" w:type="dxa"/>
        <w:right w:w="108" w:type="dxa"/>
      </w:tblCellMar>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medie1-Accentuare2">
    <w:name w:val="Medium Grid 1 Accent 2"/>
    <w:basedOn w:val="TabelNormal"/>
    <w:uiPriority w:val="67"/>
    <w:semiHidden/>
    <w:unhideWhenUsed/>
    <w:rsid w:val="00653202"/>
    <w:pPr>
      <w:spacing w:after="0" w:line="240" w:lineRule="auto"/>
    </w:pPr>
    <w:tblPr>
      <w:tblStyleRowBandSize w:val="1"/>
      <w:tblStyleColBandSize w:val="1"/>
      <w:tblInd w:w="0" w:type="dxa"/>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CellMar>
        <w:top w:w="0" w:type="dxa"/>
        <w:left w:w="108" w:type="dxa"/>
        <w:bottom w:w="0" w:type="dxa"/>
        <w:right w:w="108" w:type="dxa"/>
      </w:tblCellMar>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medie1-Accentuare3">
    <w:name w:val="Medium Grid 1 Accent 3"/>
    <w:basedOn w:val="TabelNormal"/>
    <w:uiPriority w:val="67"/>
    <w:semiHidden/>
    <w:unhideWhenUsed/>
    <w:rsid w:val="00653202"/>
    <w:pPr>
      <w:spacing w:after="0" w:line="240" w:lineRule="auto"/>
    </w:pPr>
    <w:tblPr>
      <w:tblStyleRowBandSize w:val="1"/>
      <w:tblStyleColBandSize w:val="1"/>
      <w:tblInd w:w="0" w:type="dxa"/>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CellMar>
        <w:top w:w="0" w:type="dxa"/>
        <w:left w:w="108" w:type="dxa"/>
        <w:bottom w:w="0" w:type="dxa"/>
        <w:right w:w="108" w:type="dxa"/>
      </w:tblCellMar>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medie1-Accentuare4">
    <w:name w:val="Medium Grid 1 Accent 4"/>
    <w:basedOn w:val="TabelNormal"/>
    <w:uiPriority w:val="67"/>
    <w:semiHidden/>
    <w:unhideWhenUsed/>
    <w:rsid w:val="00653202"/>
    <w:pPr>
      <w:spacing w:after="0" w:line="240" w:lineRule="auto"/>
    </w:pPr>
    <w:tblPr>
      <w:tblStyleRowBandSize w:val="1"/>
      <w:tblStyleColBandSize w:val="1"/>
      <w:tblInd w:w="0" w:type="dxa"/>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CellMar>
        <w:top w:w="0" w:type="dxa"/>
        <w:left w:w="108" w:type="dxa"/>
        <w:bottom w:w="0" w:type="dxa"/>
        <w:right w:w="108" w:type="dxa"/>
      </w:tblCellMar>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medie1-Accentuare5">
    <w:name w:val="Medium Grid 1 Accent 5"/>
    <w:basedOn w:val="TabelNormal"/>
    <w:uiPriority w:val="67"/>
    <w:semiHidden/>
    <w:unhideWhenUsed/>
    <w:rsid w:val="00653202"/>
    <w:pPr>
      <w:spacing w:after="0" w:line="240" w:lineRule="auto"/>
    </w:pPr>
    <w:tblPr>
      <w:tblStyleRowBandSize w:val="1"/>
      <w:tblStyleColBandSize w:val="1"/>
      <w:tblInd w:w="0" w:type="dxa"/>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CellMar>
        <w:top w:w="0" w:type="dxa"/>
        <w:left w:w="108" w:type="dxa"/>
        <w:bottom w:w="0" w:type="dxa"/>
        <w:right w:w="108" w:type="dxa"/>
      </w:tblCellMar>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medie1-Accentuare6">
    <w:name w:val="Medium Grid 1 Accent 6"/>
    <w:basedOn w:val="TabelNormal"/>
    <w:uiPriority w:val="67"/>
    <w:semiHidden/>
    <w:unhideWhenUsed/>
    <w:rsid w:val="00653202"/>
    <w:pPr>
      <w:spacing w:after="0" w:line="240" w:lineRule="auto"/>
    </w:pPr>
    <w:tblPr>
      <w:tblStyleRowBandSize w:val="1"/>
      <w:tblStyleColBandSize w:val="1"/>
      <w:tblInd w:w="0" w:type="dxa"/>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CellMar>
        <w:top w:w="0" w:type="dxa"/>
        <w:left w:w="108" w:type="dxa"/>
        <w:bottom w:w="0" w:type="dxa"/>
        <w:right w:w="108" w:type="dxa"/>
      </w:tblCellMar>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rilmedie2">
    <w:name w:val="Medium Grid 2"/>
    <w:basedOn w:val="TabelNormal"/>
    <w:uiPriority w:val="68"/>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CellMar>
        <w:top w:w="0" w:type="dxa"/>
        <w:left w:w="108" w:type="dxa"/>
        <w:bottom w:w="0" w:type="dxa"/>
        <w:right w:w="108" w:type="dxa"/>
      </w:tblCellMar>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CellMar>
        <w:top w:w="0" w:type="dxa"/>
        <w:left w:w="108" w:type="dxa"/>
        <w:bottom w:w="0" w:type="dxa"/>
        <w:right w:w="108" w:type="dxa"/>
      </w:tblCellMar>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CellMar>
        <w:top w:w="0" w:type="dxa"/>
        <w:left w:w="108" w:type="dxa"/>
        <w:bottom w:w="0" w:type="dxa"/>
        <w:right w:w="108" w:type="dxa"/>
      </w:tblCellMar>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CellMar>
        <w:top w:w="0" w:type="dxa"/>
        <w:left w:w="108" w:type="dxa"/>
        <w:bottom w:w="0" w:type="dxa"/>
        <w:right w:w="108" w:type="dxa"/>
      </w:tblCellMar>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CellMar>
        <w:top w:w="0" w:type="dxa"/>
        <w:left w:w="108" w:type="dxa"/>
        <w:bottom w:w="0" w:type="dxa"/>
        <w:right w:w="108" w:type="dxa"/>
      </w:tblCellMar>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semiHidden/>
    <w:unhideWhenUsed/>
    <w:rsid w:val="006532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CellMar>
        <w:top w:w="0" w:type="dxa"/>
        <w:left w:w="108" w:type="dxa"/>
        <w:bottom w:w="0" w:type="dxa"/>
        <w:right w:w="108" w:type="dxa"/>
      </w:tblCellMar>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semiHidden/>
    <w:unhideWhenUsed/>
    <w:rsid w:val="0065320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semiHidden/>
    <w:unhideWhenUsed/>
    <w:rsid w:val="0065320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rilmedie3-Accentuare2">
    <w:name w:val="Medium Grid 3 Accent 2"/>
    <w:basedOn w:val="TabelNormal"/>
    <w:uiPriority w:val="69"/>
    <w:semiHidden/>
    <w:unhideWhenUsed/>
    <w:rsid w:val="0065320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rilmedie3-Accentuare3">
    <w:name w:val="Medium Grid 3 Accent 3"/>
    <w:basedOn w:val="TabelNormal"/>
    <w:uiPriority w:val="69"/>
    <w:semiHidden/>
    <w:unhideWhenUsed/>
    <w:rsid w:val="0065320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rilmedie3-Accentuare4">
    <w:name w:val="Medium Grid 3 Accent 4"/>
    <w:basedOn w:val="TabelNormal"/>
    <w:uiPriority w:val="69"/>
    <w:semiHidden/>
    <w:unhideWhenUsed/>
    <w:rsid w:val="0065320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rilmedie3-Accentuare5">
    <w:name w:val="Medium Grid 3 Accent 5"/>
    <w:basedOn w:val="TabelNormal"/>
    <w:uiPriority w:val="69"/>
    <w:semiHidden/>
    <w:unhideWhenUsed/>
    <w:rsid w:val="0065320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rilmedie3-Accentuare6">
    <w:name w:val="Medium Grid 3 Accent 6"/>
    <w:basedOn w:val="TabelNormal"/>
    <w:uiPriority w:val="69"/>
    <w:semiHidden/>
    <w:unhideWhenUsed/>
    <w:rsid w:val="0065320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Listdeculoarenchis">
    <w:name w:val="Dark List"/>
    <w:basedOn w:val="TabelNormal"/>
    <w:uiPriority w:val="70"/>
    <w:semiHidden/>
    <w:unhideWhenUsed/>
    <w:rsid w:val="0065320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semiHidden/>
    <w:unhideWhenUsed/>
    <w:rsid w:val="0065320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Listdeculoarenchis-Accentuare2">
    <w:name w:val="Dark List Accent 2"/>
    <w:basedOn w:val="TabelNormal"/>
    <w:uiPriority w:val="70"/>
    <w:semiHidden/>
    <w:unhideWhenUsed/>
    <w:rsid w:val="0065320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Listdeculoarenchis-Accentuare3">
    <w:name w:val="Dark List Accent 3"/>
    <w:basedOn w:val="TabelNormal"/>
    <w:uiPriority w:val="70"/>
    <w:semiHidden/>
    <w:unhideWhenUsed/>
    <w:rsid w:val="0065320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Listdeculoarenchis-Accentuare4">
    <w:name w:val="Dark List Accent 4"/>
    <w:basedOn w:val="TabelNormal"/>
    <w:uiPriority w:val="70"/>
    <w:semiHidden/>
    <w:unhideWhenUsed/>
    <w:rsid w:val="0065320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Listdeculoarenchis-Accentuare5">
    <w:name w:val="Dark List Accent 5"/>
    <w:basedOn w:val="TabelNormal"/>
    <w:uiPriority w:val="70"/>
    <w:semiHidden/>
    <w:unhideWhenUsed/>
    <w:rsid w:val="0065320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Listdeculoarenchis-Accentuare6">
    <w:name w:val="Dark List Accent 6"/>
    <w:basedOn w:val="TabelNormal"/>
    <w:uiPriority w:val="70"/>
    <w:semiHidden/>
    <w:unhideWhenUsed/>
    <w:rsid w:val="0065320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Umbrirecolorat">
    <w:name w:val="Colorful Shading"/>
    <w:basedOn w:val="TabelNormal"/>
    <w:uiPriority w:val="71"/>
    <w:semiHidden/>
    <w:unhideWhenUsed/>
    <w:rsid w:val="00653202"/>
    <w:pPr>
      <w:spacing w:after="0" w:line="240" w:lineRule="auto"/>
    </w:pPr>
    <w:rPr>
      <w:color w:val="000000" w:themeColor="text1"/>
    </w:rPr>
    <w:tblPr>
      <w:tblStyleRowBandSize w:val="1"/>
      <w:tblStyleColBandSize w:val="1"/>
      <w:tblInd w:w="0" w:type="dxa"/>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semiHidden/>
    <w:unhideWhenUsed/>
    <w:rsid w:val="00653202"/>
    <w:pPr>
      <w:spacing w:after="0" w:line="240" w:lineRule="auto"/>
    </w:pPr>
    <w:rPr>
      <w:color w:val="000000" w:themeColor="text1"/>
    </w:rPr>
    <w:tblPr>
      <w:tblStyleRowBandSize w:val="1"/>
      <w:tblStyleColBandSize w:val="1"/>
      <w:tblInd w:w="0" w:type="dxa"/>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semiHidden/>
    <w:unhideWhenUsed/>
    <w:rsid w:val="00653202"/>
    <w:pPr>
      <w:spacing w:after="0" w:line="240" w:lineRule="auto"/>
    </w:pPr>
    <w:rPr>
      <w:color w:val="000000" w:themeColor="text1"/>
    </w:rPr>
    <w:tblPr>
      <w:tblStyleRowBandSize w:val="1"/>
      <w:tblStyleColBandSize w:val="1"/>
      <w:tblInd w:w="0" w:type="dxa"/>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semiHidden/>
    <w:unhideWhenUsed/>
    <w:rsid w:val="00653202"/>
    <w:pPr>
      <w:spacing w:after="0" w:line="240" w:lineRule="auto"/>
    </w:pPr>
    <w:rPr>
      <w:color w:val="000000" w:themeColor="text1"/>
    </w:rPr>
    <w:tblPr>
      <w:tblStyleRowBandSize w:val="1"/>
      <w:tblStyleColBandSize w:val="1"/>
      <w:tblInd w:w="0" w:type="dxa"/>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Umbrirecolorat-Accentuare4">
    <w:name w:val="Colorful Shading Accent 4"/>
    <w:basedOn w:val="TabelNormal"/>
    <w:uiPriority w:val="71"/>
    <w:semiHidden/>
    <w:unhideWhenUsed/>
    <w:rsid w:val="00653202"/>
    <w:pPr>
      <w:spacing w:after="0" w:line="240" w:lineRule="auto"/>
    </w:pPr>
    <w:rPr>
      <w:color w:val="000000" w:themeColor="text1"/>
    </w:rPr>
    <w:tblPr>
      <w:tblStyleRowBandSize w:val="1"/>
      <w:tblStyleColBandSize w:val="1"/>
      <w:tblInd w:w="0" w:type="dxa"/>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semiHidden/>
    <w:unhideWhenUsed/>
    <w:rsid w:val="00653202"/>
    <w:pPr>
      <w:spacing w:after="0" w:line="240" w:lineRule="auto"/>
    </w:pPr>
    <w:rPr>
      <w:color w:val="000000" w:themeColor="text1"/>
    </w:rPr>
    <w:tblPr>
      <w:tblStyleRowBandSize w:val="1"/>
      <w:tblStyleColBandSize w:val="1"/>
      <w:tblInd w:w="0" w:type="dxa"/>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semiHidden/>
    <w:unhideWhenUsed/>
    <w:rsid w:val="00653202"/>
    <w:pPr>
      <w:spacing w:after="0" w:line="240" w:lineRule="auto"/>
    </w:pPr>
    <w:rPr>
      <w:color w:val="000000" w:themeColor="text1"/>
    </w:rPr>
    <w:tblPr>
      <w:tblStyleRowBandSize w:val="1"/>
      <w:tblStyleColBandSize w:val="1"/>
      <w:tblInd w:w="0" w:type="dxa"/>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semiHidden/>
    <w:unhideWhenUsed/>
    <w:rsid w:val="0065320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semiHidden/>
    <w:unhideWhenUsed/>
    <w:rsid w:val="0065320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Listcolorat-Accentuare2">
    <w:name w:val="Colorful List Accent 2"/>
    <w:basedOn w:val="TabelNormal"/>
    <w:uiPriority w:val="72"/>
    <w:semiHidden/>
    <w:unhideWhenUsed/>
    <w:rsid w:val="0065320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Listcolorat-Accentuare3">
    <w:name w:val="Colorful List Accent 3"/>
    <w:basedOn w:val="TabelNormal"/>
    <w:uiPriority w:val="72"/>
    <w:semiHidden/>
    <w:unhideWhenUsed/>
    <w:rsid w:val="0065320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Listcolorat-Accentuare4">
    <w:name w:val="Colorful List Accent 4"/>
    <w:basedOn w:val="TabelNormal"/>
    <w:uiPriority w:val="72"/>
    <w:semiHidden/>
    <w:unhideWhenUsed/>
    <w:rsid w:val="0065320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Listcolorat-Accentuare5">
    <w:name w:val="Colorful List Accent 5"/>
    <w:basedOn w:val="TabelNormal"/>
    <w:uiPriority w:val="72"/>
    <w:semiHidden/>
    <w:unhideWhenUsed/>
    <w:rsid w:val="0065320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Listcolorat-Accentuare6">
    <w:name w:val="Colorful List Accent 6"/>
    <w:basedOn w:val="TabelNormal"/>
    <w:uiPriority w:val="72"/>
    <w:semiHidden/>
    <w:unhideWhenUsed/>
    <w:rsid w:val="0065320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Grilcolorat">
    <w:name w:val="Colorful Grid"/>
    <w:basedOn w:val="TabelNormal"/>
    <w:uiPriority w:val="73"/>
    <w:semiHidden/>
    <w:unhideWhenUsed/>
    <w:rsid w:val="0065320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semiHidden/>
    <w:unhideWhenUsed/>
    <w:rsid w:val="0065320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colorat-Accentuare2">
    <w:name w:val="Colorful Grid Accent 2"/>
    <w:basedOn w:val="TabelNormal"/>
    <w:uiPriority w:val="73"/>
    <w:semiHidden/>
    <w:unhideWhenUsed/>
    <w:rsid w:val="0065320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colorat-Accentuare3">
    <w:name w:val="Colorful Grid Accent 3"/>
    <w:basedOn w:val="TabelNormal"/>
    <w:uiPriority w:val="73"/>
    <w:semiHidden/>
    <w:unhideWhenUsed/>
    <w:rsid w:val="0065320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colorat-Accentuare4">
    <w:name w:val="Colorful Grid Accent 4"/>
    <w:basedOn w:val="TabelNormal"/>
    <w:uiPriority w:val="73"/>
    <w:semiHidden/>
    <w:unhideWhenUsed/>
    <w:rsid w:val="0065320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colorat-Accentuare5">
    <w:name w:val="Colorful Grid Accent 5"/>
    <w:basedOn w:val="TabelNormal"/>
    <w:uiPriority w:val="73"/>
    <w:semiHidden/>
    <w:unhideWhenUsed/>
    <w:rsid w:val="0065320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colorat-Accentuare6">
    <w:name w:val="Colorful Grid Accent 6"/>
    <w:basedOn w:val="TabelNormal"/>
    <w:uiPriority w:val="73"/>
    <w:semiHidden/>
    <w:unhideWhenUsed/>
    <w:rsid w:val="0065320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HyperlinkParcurs">
    <w:name w:val="FollowedHyperlink"/>
    <w:basedOn w:val="Fontdeparagrafimplicit"/>
    <w:uiPriority w:val="99"/>
    <w:semiHidden/>
    <w:unhideWhenUsed/>
    <w:rsid w:val="00653202"/>
    <w:rPr>
      <w:color w:val="96607D"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13948</Words>
  <Characters>79508</Characters>
  <Application>Microsoft Office Word</Application>
  <DocSecurity>0</DocSecurity>
  <Lines>662</Lines>
  <Paragraphs>186</Paragraphs>
  <ScaleCrop>false</ScaleCrop>
  <Company>CtrlSoft</Company>
  <LinksUpToDate>false</LinksUpToDate>
  <CharactersWithSpaces>93270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Primlex Consult</dc:creator>
  <cp:lastModifiedBy>Пользователь Windows</cp:lastModifiedBy>
  <cp:revision>2</cp:revision>
  <dcterms:created xsi:type="dcterms:W3CDTF">2026-07-03T10:56:00Z</dcterms:created>
  <dcterms:modified xsi:type="dcterms:W3CDTF">2026-07-03T10:56:00Z</dcterms:modified>
</cp:coreProperties>
</file>